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ind w:firstLine="0" w:firstLineChars="0"/>
        <w:jc w:val="center"/>
        <w:rPr>
          <w:rFonts w:ascii="Times New Roman" w:hAnsi="Times New Roman" w:eastAsia="黑体" w:cs="黑体"/>
          <w:color w:val="auto"/>
          <w:sz w:val="44"/>
          <w:szCs w:val="44"/>
        </w:rPr>
      </w:pPr>
      <w:bookmarkStart w:id="0" w:name="_Hlk50278742"/>
      <w:bookmarkStart w:id="1" w:name="_Toc6930591"/>
    </w:p>
    <w:p>
      <w:pPr>
        <w:pStyle w:val="2"/>
        <w:spacing w:line="620" w:lineRule="exact"/>
        <w:ind w:firstLine="0" w:firstLineChars="0"/>
        <w:jc w:val="center"/>
        <w:rPr>
          <w:rFonts w:ascii="Times New Roman" w:hAnsi="Times New Roman" w:eastAsia="黑体" w:cs="黑体"/>
          <w:color w:val="auto"/>
          <w:sz w:val="44"/>
          <w:szCs w:val="44"/>
        </w:rPr>
      </w:pPr>
    </w:p>
    <w:p>
      <w:pPr>
        <w:pStyle w:val="2"/>
        <w:spacing w:line="620" w:lineRule="exact"/>
        <w:ind w:firstLine="0" w:firstLineChars="0"/>
        <w:jc w:val="center"/>
        <w:rPr>
          <w:rFonts w:ascii="Times New Roman" w:hAnsi="Times New Roman" w:eastAsia="黑体" w:cs="黑体"/>
          <w:color w:val="auto"/>
          <w:sz w:val="48"/>
          <w:szCs w:val="48"/>
        </w:rPr>
      </w:pPr>
    </w:p>
    <w:bookmarkEnd w:id="0"/>
    <w:p>
      <w:pPr>
        <w:pStyle w:val="2"/>
        <w:spacing w:line="1000" w:lineRule="exact"/>
        <w:ind w:firstLine="0" w:firstLineChars="0"/>
        <w:jc w:val="center"/>
        <w:rPr>
          <w:rFonts w:ascii="Times New Roman" w:hAnsi="Times New Roman" w:eastAsia="黑体" w:cs="黑体"/>
          <w:color w:val="auto"/>
          <w:sz w:val="44"/>
          <w:szCs w:val="44"/>
        </w:rPr>
      </w:pPr>
      <w:r>
        <w:rPr>
          <w:rFonts w:hint="eastAsia" w:ascii="Times New Roman" w:hAnsi="Times New Roman" w:eastAsia="黑体" w:cs="黑体"/>
          <w:color w:val="auto"/>
          <w:sz w:val="44"/>
          <w:szCs w:val="44"/>
        </w:rPr>
        <w:t>内蒙古自治区“十四五”节水型社会</w:t>
      </w:r>
    </w:p>
    <w:p>
      <w:pPr>
        <w:pStyle w:val="2"/>
        <w:spacing w:line="1000" w:lineRule="exact"/>
        <w:ind w:firstLine="0" w:firstLineChars="0"/>
        <w:jc w:val="center"/>
        <w:rPr>
          <w:rFonts w:ascii="Times New Roman" w:hAnsi="Times New Roman" w:eastAsia="黑体"/>
          <w:color w:val="auto"/>
          <w:sz w:val="44"/>
          <w:szCs w:val="44"/>
        </w:rPr>
      </w:pPr>
      <w:r>
        <w:rPr>
          <w:rFonts w:hint="eastAsia" w:ascii="Times New Roman" w:hAnsi="Times New Roman" w:eastAsia="黑体" w:cs="黑体"/>
          <w:color w:val="auto"/>
          <w:sz w:val="44"/>
          <w:szCs w:val="44"/>
        </w:rPr>
        <w:t>建设规划</w:t>
      </w:r>
    </w:p>
    <w:p>
      <w:pPr>
        <w:pStyle w:val="2"/>
        <w:spacing w:line="620" w:lineRule="exact"/>
        <w:ind w:firstLine="0" w:firstLineChars="0"/>
        <w:jc w:val="center"/>
        <w:rPr>
          <w:rFonts w:ascii="黑体" w:hAnsi="黑体" w:eastAsia="黑体"/>
          <w:color w:val="auto"/>
          <w:sz w:val="28"/>
          <w:szCs w:val="28"/>
        </w:rPr>
      </w:pPr>
      <w:bookmarkStart w:id="2" w:name="_Hlk50278781"/>
    </w:p>
    <w:p>
      <w:pPr>
        <w:pStyle w:val="2"/>
        <w:spacing w:line="620" w:lineRule="exact"/>
        <w:ind w:firstLine="0" w:firstLineChars="0"/>
        <w:jc w:val="center"/>
        <w:rPr>
          <w:rFonts w:ascii="黑体" w:hAnsi="黑体" w:eastAsia="黑体"/>
          <w:color w:val="auto"/>
          <w:sz w:val="28"/>
          <w:szCs w:val="28"/>
        </w:rPr>
      </w:pPr>
    </w:p>
    <w:p>
      <w:pPr>
        <w:pStyle w:val="2"/>
        <w:spacing w:line="620" w:lineRule="exact"/>
        <w:ind w:firstLine="0" w:firstLineChars="0"/>
        <w:jc w:val="center"/>
        <w:rPr>
          <w:rFonts w:ascii="Times New Roman" w:hAnsi="Times New Roman"/>
          <w:b/>
          <w:bCs/>
          <w:color w:val="auto"/>
          <w:sz w:val="28"/>
          <w:szCs w:val="28"/>
        </w:rPr>
      </w:pPr>
    </w:p>
    <w:p>
      <w:pPr>
        <w:pStyle w:val="2"/>
        <w:spacing w:line="620" w:lineRule="exact"/>
        <w:ind w:firstLine="0" w:firstLineChars="0"/>
        <w:jc w:val="center"/>
        <w:rPr>
          <w:rFonts w:ascii="Times New Roman" w:hAnsi="Times New Roman"/>
          <w:b/>
          <w:bCs/>
          <w:color w:val="auto"/>
          <w:sz w:val="28"/>
          <w:szCs w:val="28"/>
        </w:rPr>
      </w:pPr>
    </w:p>
    <w:p>
      <w:pPr>
        <w:pStyle w:val="2"/>
        <w:spacing w:line="620" w:lineRule="exact"/>
        <w:ind w:firstLine="0" w:firstLineChars="0"/>
        <w:jc w:val="center"/>
        <w:rPr>
          <w:rFonts w:ascii="Times New Roman" w:hAnsi="Times New Roman"/>
          <w:b/>
          <w:bCs/>
          <w:color w:val="auto"/>
          <w:sz w:val="28"/>
          <w:szCs w:val="28"/>
        </w:rPr>
      </w:pPr>
    </w:p>
    <w:p>
      <w:pPr>
        <w:pStyle w:val="2"/>
        <w:spacing w:line="620" w:lineRule="exact"/>
        <w:ind w:firstLine="0" w:firstLineChars="0"/>
        <w:jc w:val="center"/>
        <w:rPr>
          <w:rFonts w:ascii="Times New Roman" w:hAnsi="Times New Roman"/>
          <w:b/>
          <w:bCs/>
          <w:color w:val="auto"/>
          <w:sz w:val="28"/>
          <w:szCs w:val="28"/>
        </w:rPr>
      </w:pPr>
    </w:p>
    <w:p>
      <w:pPr>
        <w:pStyle w:val="2"/>
        <w:spacing w:line="620" w:lineRule="exact"/>
        <w:ind w:firstLine="0" w:firstLineChars="0"/>
        <w:jc w:val="center"/>
        <w:rPr>
          <w:rFonts w:ascii="Times New Roman" w:hAnsi="Times New Roman"/>
          <w:b/>
          <w:bCs/>
          <w:color w:val="auto"/>
          <w:sz w:val="28"/>
          <w:szCs w:val="28"/>
        </w:rPr>
      </w:pPr>
    </w:p>
    <w:p>
      <w:pPr>
        <w:pStyle w:val="2"/>
        <w:spacing w:line="620" w:lineRule="exact"/>
        <w:ind w:firstLine="0" w:firstLineChars="0"/>
        <w:jc w:val="center"/>
        <w:rPr>
          <w:rFonts w:ascii="Times New Roman" w:hAnsi="Times New Roman"/>
          <w:b/>
          <w:bCs/>
          <w:color w:val="auto"/>
          <w:sz w:val="28"/>
          <w:szCs w:val="28"/>
        </w:rPr>
      </w:pPr>
    </w:p>
    <w:p>
      <w:pPr>
        <w:pStyle w:val="2"/>
        <w:spacing w:line="620" w:lineRule="exact"/>
        <w:ind w:firstLine="0" w:firstLineChars="0"/>
        <w:jc w:val="center"/>
        <w:rPr>
          <w:rFonts w:ascii="Times New Roman" w:hAnsi="Times New Roman"/>
          <w:b/>
          <w:bCs/>
          <w:color w:val="auto"/>
          <w:sz w:val="28"/>
          <w:szCs w:val="28"/>
        </w:rPr>
      </w:pPr>
    </w:p>
    <w:p>
      <w:pPr>
        <w:pStyle w:val="2"/>
        <w:spacing w:line="620" w:lineRule="exact"/>
        <w:ind w:firstLine="0" w:firstLineChars="0"/>
        <w:jc w:val="center"/>
        <w:rPr>
          <w:rFonts w:ascii="Times New Roman" w:hAnsi="Times New Roman"/>
          <w:b/>
          <w:bCs/>
          <w:color w:val="auto"/>
          <w:sz w:val="28"/>
          <w:szCs w:val="28"/>
        </w:rPr>
      </w:pPr>
    </w:p>
    <w:p>
      <w:pPr>
        <w:pStyle w:val="2"/>
        <w:spacing w:line="620" w:lineRule="exact"/>
        <w:ind w:firstLine="0" w:firstLineChars="0"/>
        <w:jc w:val="center"/>
        <w:rPr>
          <w:rFonts w:ascii="Times New Roman" w:hAnsi="Times New Roman"/>
          <w:b/>
          <w:bCs/>
          <w:color w:val="auto"/>
          <w:sz w:val="28"/>
          <w:szCs w:val="28"/>
        </w:rPr>
      </w:pPr>
    </w:p>
    <w:p>
      <w:pPr>
        <w:spacing w:line="620" w:lineRule="exact"/>
        <w:rPr>
          <w:rFonts w:eastAsia="黑体" w:cs="黑体"/>
          <w:color w:val="auto"/>
        </w:rPr>
      </w:pPr>
      <w:bookmarkStart w:id="3" w:name="_Toc327373523"/>
      <w:bookmarkStart w:id="4" w:name="_Toc327134887"/>
      <w:bookmarkStart w:id="5" w:name="_Toc327184679"/>
      <w:bookmarkStart w:id="6" w:name="_Toc327278073"/>
      <w:bookmarkStart w:id="7" w:name="_Toc327182894"/>
      <w:bookmarkStart w:id="8" w:name="_Toc327183656"/>
      <w:bookmarkStart w:id="9" w:name="_Toc327182134"/>
    </w:p>
    <w:bookmarkEnd w:id="3"/>
    <w:bookmarkEnd w:id="4"/>
    <w:bookmarkEnd w:id="5"/>
    <w:bookmarkEnd w:id="6"/>
    <w:bookmarkEnd w:id="7"/>
    <w:bookmarkEnd w:id="8"/>
    <w:bookmarkEnd w:id="9"/>
    <w:p>
      <w:pPr>
        <w:spacing w:line="620" w:lineRule="exact"/>
        <w:jc w:val="center"/>
        <w:rPr>
          <w:rFonts w:eastAsia="黑体" w:cs="黑体"/>
          <w:color w:val="auto"/>
          <w:sz w:val="32"/>
          <w:szCs w:val="36"/>
        </w:rPr>
      </w:pPr>
      <w:r>
        <w:rPr>
          <w:rFonts w:hint="eastAsia" w:eastAsia="黑体" w:cs="黑体"/>
          <w:color w:val="auto"/>
          <w:sz w:val="32"/>
          <w:szCs w:val="36"/>
        </w:rPr>
        <w:t>二 〇 二 一 年 十 二 月</w:t>
      </w:r>
    </w:p>
    <w:p>
      <w:pPr>
        <w:spacing w:line="620" w:lineRule="exact"/>
        <w:rPr>
          <w:rFonts w:eastAsia="黑体" w:cs="黑体"/>
          <w:color w:val="auto"/>
          <w:sz w:val="32"/>
          <w:szCs w:val="36"/>
        </w:rPr>
      </w:pPr>
      <w:r>
        <w:rPr>
          <w:rFonts w:eastAsia="黑体" w:cs="黑体"/>
          <w:color w:val="auto"/>
          <w:sz w:val="32"/>
          <w:szCs w:val="36"/>
        </w:rPr>
        <w:br w:type="page"/>
      </w:r>
      <w:bookmarkStart w:id="36" w:name="_GoBack"/>
      <w:bookmarkEnd w:id="36"/>
    </w:p>
    <w:bookmarkEnd w:id="2"/>
    <w:p>
      <w:pPr>
        <w:widowControl/>
        <w:spacing w:line="620" w:lineRule="exact"/>
        <w:jc w:val="left"/>
        <w:rPr>
          <w:rFonts w:eastAsia="仿宋_GB2312"/>
          <w:color w:val="auto"/>
          <w:kern w:val="0"/>
          <w:sz w:val="22"/>
          <w:szCs w:val="28"/>
        </w:rPr>
      </w:pPr>
    </w:p>
    <w:sdt>
      <w:sdtPr>
        <w:rPr>
          <w:color w:val="auto"/>
          <w:lang w:val="zh-CN"/>
        </w:rPr>
        <w:id w:val="-747106775"/>
        <w:docPartObj>
          <w:docPartGallery w:val="Table of Contents"/>
          <w:docPartUnique/>
        </w:docPartObj>
      </w:sdtPr>
      <w:sdtEndPr>
        <w:rPr>
          <w:rFonts w:hint="eastAsia" w:ascii="黑体" w:hAnsi="黑体" w:eastAsia="黑体" w:cs="黑体"/>
          <w:color w:val="auto"/>
          <w:sz w:val="30"/>
          <w:szCs w:val="30"/>
          <w:lang w:val="en-US"/>
        </w:rPr>
      </w:sdtEndPr>
      <w:sdtContent>
        <w:p>
          <w:pPr>
            <w:jc w:val="center"/>
            <w:rPr>
              <w:rFonts w:ascii="黑体" w:hAnsi="黑体" w:eastAsia="黑体" w:cs="黑体"/>
              <w:color w:val="auto"/>
              <w:sz w:val="36"/>
              <w:szCs w:val="36"/>
            </w:rPr>
          </w:pPr>
          <w:r>
            <w:rPr>
              <w:rFonts w:hint="eastAsia" w:ascii="黑体" w:hAnsi="黑体" w:eastAsia="黑体" w:cs="黑体"/>
              <w:color w:val="auto"/>
              <w:sz w:val="36"/>
              <w:szCs w:val="36"/>
            </w:rPr>
            <w:t>目</w:t>
          </w:r>
          <w:r>
            <w:rPr>
              <w:rFonts w:hint="eastAsia" w:ascii="黑体" w:hAnsi="黑体" w:eastAsia="黑体" w:cs="黑体"/>
              <w:color w:val="auto"/>
              <w:sz w:val="36"/>
              <w:szCs w:val="36"/>
              <w:lang w:val="en-US" w:eastAsia="zh-CN"/>
            </w:rPr>
            <w:t xml:space="preserve"> </w:t>
          </w:r>
          <w:r>
            <w:rPr>
              <w:rFonts w:hint="eastAsia" w:ascii="黑体" w:hAnsi="黑体" w:eastAsia="黑体" w:cs="黑体"/>
              <w:color w:val="auto"/>
              <w:sz w:val="36"/>
              <w:szCs w:val="36"/>
            </w:rPr>
            <w:t>录</w:t>
          </w:r>
        </w:p>
        <w:p>
          <w:pPr>
            <w:pStyle w:val="20"/>
            <w:tabs>
              <w:tab w:val="right" w:leader="dot" w:pos="8306"/>
            </w:tabs>
            <w:ind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TOC \o "1-2" \h \z \u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_Toc24501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前  言</w:t>
          </w:r>
          <w:r>
            <w:rPr>
              <w:rFonts w:hint="eastAsia" w:ascii="黑体" w:hAnsi="黑体" w:eastAsia="黑体" w:cs="黑体"/>
              <w:color w:val="auto"/>
              <w:sz w:val="30"/>
              <w:szCs w:val="30"/>
            </w:rPr>
            <w:tab/>
          </w: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PAGEREF _Toc24501 \h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1</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_Toc28116 </w:instrText>
          </w:r>
          <w:r>
            <w:rPr>
              <w:rFonts w:hint="eastAsia" w:ascii="黑体" w:hAnsi="黑体" w:eastAsia="黑体" w:cs="黑体"/>
              <w:color w:val="auto"/>
              <w:sz w:val="30"/>
              <w:szCs w:val="30"/>
            </w:rPr>
            <w:fldChar w:fldCharType="separate"/>
          </w:r>
          <w:r>
            <w:rPr>
              <w:rFonts w:hint="eastAsia" w:ascii="黑体" w:hAnsi="黑体" w:eastAsia="黑体" w:cs="黑体"/>
              <w:bCs w:val="0"/>
              <w:color w:val="auto"/>
              <w:sz w:val="30"/>
              <w:szCs w:val="30"/>
            </w:rPr>
            <w:t>一、现状与形势</w:t>
          </w:r>
          <w:r>
            <w:rPr>
              <w:rFonts w:hint="eastAsia" w:ascii="黑体" w:hAnsi="黑体" w:eastAsia="黑体" w:cs="黑体"/>
              <w:color w:val="auto"/>
              <w:sz w:val="30"/>
              <w:szCs w:val="30"/>
            </w:rPr>
            <w:tab/>
          </w: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PAGEREF _Toc28116 \h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2</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_Toc18946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（一）“十三五”节水成效</w:t>
          </w:r>
          <w:r>
            <w:rPr>
              <w:rFonts w:hint="eastAsia" w:ascii="黑体" w:hAnsi="黑体" w:eastAsia="黑体" w:cs="黑体"/>
              <w:color w:val="auto"/>
              <w:sz w:val="30"/>
              <w:szCs w:val="30"/>
            </w:rPr>
            <w:tab/>
          </w: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PAGEREF _Toc18946 \h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2</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_Toc24264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（二）存在的问题</w:t>
          </w:r>
          <w:r>
            <w:rPr>
              <w:rFonts w:hint="eastAsia" w:ascii="黑体" w:hAnsi="黑体" w:eastAsia="黑体" w:cs="黑体"/>
              <w:color w:val="auto"/>
              <w:sz w:val="30"/>
              <w:szCs w:val="30"/>
            </w:rPr>
            <w:tab/>
          </w: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PAGEREF _Toc24264 \h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4</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_Toc11700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（三）</w:t>
          </w:r>
          <w:r>
            <w:rPr>
              <w:rFonts w:hint="eastAsia" w:ascii="黑体" w:hAnsi="黑体" w:eastAsia="黑体" w:cs="黑体"/>
              <w:color w:val="auto"/>
              <w:sz w:val="30"/>
              <w:szCs w:val="30"/>
              <w:lang w:eastAsia="zh-CN"/>
            </w:rPr>
            <w:t>面临</w:t>
          </w:r>
          <w:r>
            <w:rPr>
              <w:rFonts w:hint="eastAsia" w:ascii="黑体" w:hAnsi="黑体" w:eastAsia="黑体" w:cs="黑体"/>
              <w:color w:val="auto"/>
              <w:sz w:val="30"/>
              <w:szCs w:val="30"/>
            </w:rPr>
            <w:t>形势</w:t>
          </w:r>
          <w:r>
            <w:rPr>
              <w:rFonts w:hint="eastAsia" w:ascii="黑体" w:hAnsi="黑体" w:eastAsia="黑体" w:cs="黑体"/>
              <w:color w:val="auto"/>
              <w:sz w:val="30"/>
              <w:szCs w:val="30"/>
            </w:rPr>
            <w:tab/>
          </w:r>
          <w:r>
            <w:rPr>
              <w:rFonts w:hint="eastAsia" w:ascii="黑体" w:hAnsi="黑体" w:eastAsia="黑体" w:cs="黑体"/>
              <w:color w:val="auto"/>
              <w:sz w:val="30"/>
              <w:szCs w:val="30"/>
              <w:lang w:val="en-US" w:eastAsia="zh-CN"/>
            </w:rPr>
            <w:t>5</w:t>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_Toc15781 </w:instrText>
          </w:r>
          <w:r>
            <w:rPr>
              <w:rFonts w:hint="eastAsia" w:ascii="黑体" w:hAnsi="黑体" w:eastAsia="黑体" w:cs="黑体"/>
              <w:color w:val="auto"/>
              <w:sz w:val="30"/>
              <w:szCs w:val="30"/>
            </w:rPr>
            <w:fldChar w:fldCharType="separate"/>
          </w:r>
          <w:r>
            <w:rPr>
              <w:rFonts w:hint="eastAsia" w:ascii="黑体" w:hAnsi="黑体" w:eastAsia="黑体" w:cs="黑体"/>
              <w:bCs w:val="0"/>
              <w:color w:val="auto"/>
              <w:sz w:val="30"/>
              <w:szCs w:val="30"/>
            </w:rPr>
            <w:t>二、总体要求</w:t>
          </w:r>
          <w:r>
            <w:rPr>
              <w:rFonts w:hint="eastAsia" w:ascii="黑体" w:hAnsi="黑体" w:eastAsia="黑体" w:cs="黑体"/>
              <w:color w:val="auto"/>
              <w:sz w:val="30"/>
              <w:szCs w:val="30"/>
            </w:rPr>
            <w:tab/>
          </w:r>
          <w:r>
            <w:rPr>
              <w:rFonts w:hint="eastAsia" w:ascii="黑体" w:hAnsi="黑体" w:eastAsia="黑体" w:cs="黑体"/>
              <w:color w:val="auto"/>
              <w:sz w:val="30"/>
              <w:szCs w:val="30"/>
              <w:lang w:val="en-US" w:eastAsia="zh-CN"/>
            </w:rPr>
            <w:t>6</w:t>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_Toc27235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（一）指导思想</w:t>
          </w:r>
          <w:r>
            <w:rPr>
              <w:rFonts w:hint="eastAsia" w:ascii="黑体" w:hAnsi="黑体" w:eastAsia="黑体" w:cs="黑体"/>
              <w:color w:val="auto"/>
              <w:sz w:val="30"/>
              <w:szCs w:val="30"/>
            </w:rPr>
            <w:tab/>
          </w:r>
          <w:r>
            <w:rPr>
              <w:rFonts w:hint="eastAsia" w:ascii="黑体" w:hAnsi="黑体" w:eastAsia="黑体" w:cs="黑体"/>
              <w:color w:val="auto"/>
              <w:sz w:val="30"/>
              <w:szCs w:val="30"/>
              <w:lang w:val="en-US" w:eastAsia="zh-CN"/>
            </w:rPr>
            <w:t>6</w:t>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_Toc5734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（二）基本原则</w:t>
          </w:r>
          <w:r>
            <w:rPr>
              <w:rFonts w:hint="eastAsia" w:ascii="黑体" w:hAnsi="黑体" w:eastAsia="黑体" w:cs="黑体"/>
              <w:color w:val="auto"/>
              <w:sz w:val="30"/>
              <w:szCs w:val="30"/>
            </w:rPr>
            <w:tab/>
          </w:r>
          <w:r>
            <w:rPr>
              <w:rFonts w:hint="eastAsia" w:ascii="黑体" w:hAnsi="黑体" w:eastAsia="黑体" w:cs="黑体"/>
              <w:color w:val="auto"/>
              <w:sz w:val="30"/>
              <w:szCs w:val="30"/>
              <w:lang w:val="en-US" w:eastAsia="zh-CN"/>
            </w:rPr>
            <w:t>6</w:t>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_Toc25561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（三）规划目标</w:t>
          </w:r>
          <w:r>
            <w:rPr>
              <w:rFonts w:hint="eastAsia" w:ascii="黑体" w:hAnsi="黑体" w:eastAsia="黑体" w:cs="黑体"/>
              <w:color w:val="auto"/>
              <w:sz w:val="30"/>
              <w:szCs w:val="30"/>
            </w:rPr>
            <w:tab/>
          </w:r>
          <w:r>
            <w:rPr>
              <w:rFonts w:hint="eastAsia" w:ascii="黑体" w:hAnsi="黑体" w:eastAsia="黑体" w:cs="黑体"/>
              <w:color w:val="auto"/>
              <w:sz w:val="30"/>
              <w:szCs w:val="30"/>
              <w:lang w:val="en-US" w:eastAsia="zh-CN"/>
            </w:rPr>
            <w:t>7</w:t>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_Toc3709 </w:instrText>
          </w:r>
          <w:r>
            <w:rPr>
              <w:rFonts w:hint="eastAsia" w:ascii="黑体" w:hAnsi="黑体" w:eastAsia="黑体" w:cs="黑体"/>
              <w:color w:val="auto"/>
              <w:sz w:val="30"/>
              <w:szCs w:val="30"/>
            </w:rPr>
            <w:fldChar w:fldCharType="separate"/>
          </w:r>
          <w:r>
            <w:rPr>
              <w:rFonts w:hint="eastAsia" w:ascii="黑体" w:hAnsi="黑体" w:eastAsia="黑体" w:cs="黑体"/>
              <w:bCs w:val="0"/>
              <w:color w:val="auto"/>
              <w:sz w:val="30"/>
              <w:szCs w:val="30"/>
            </w:rPr>
            <w:t>三、主要任务</w:t>
          </w:r>
          <w:r>
            <w:rPr>
              <w:rFonts w:hint="eastAsia" w:ascii="黑体" w:hAnsi="黑体" w:eastAsia="黑体" w:cs="黑体"/>
              <w:color w:val="auto"/>
              <w:sz w:val="30"/>
              <w:szCs w:val="30"/>
            </w:rPr>
            <w:tab/>
          </w:r>
          <w:r>
            <w:rPr>
              <w:rFonts w:hint="eastAsia" w:ascii="黑体" w:hAnsi="黑体" w:eastAsia="黑体" w:cs="黑体"/>
              <w:color w:val="auto"/>
              <w:sz w:val="30"/>
              <w:szCs w:val="30"/>
              <w:lang w:val="en-US" w:eastAsia="zh-CN"/>
            </w:rPr>
            <w:t>8</w:t>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_Toc32581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（一）补齐设施短板</w:t>
          </w:r>
          <w:r>
            <w:rPr>
              <w:rFonts w:hint="eastAsia" w:ascii="黑体" w:hAnsi="黑体" w:eastAsia="黑体" w:cs="黑体"/>
              <w:color w:val="auto"/>
              <w:sz w:val="30"/>
              <w:szCs w:val="30"/>
            </w:rPr>
            <w:tab/>
          </w:r>
          <w:r>
            <w:rPr>
              <w:rFonts w:hint="eastAsia" w:ascii="黑体" w:hAnsi="黑体" w:eastAsia="黑体" w:cs="黑体"/>
              <w:color w:val="auto"/>
              <w:sz w:val="30"/>
              <w:szCs w:val="30"/>
              <w:lang w:val="en-US" w:eastAsia="zh-CN"/>
            </w:rPr>
            <w:t>8</w:t>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_Toc7619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（二）健全节水机制</w:t>
          </w:r>
          <w:r>
            <w:rPr>
              <w:rFonts w:hint="eastAsia" w:ascii="黑体" w:hAnsi="黑体" w:eastAsia="黑体" w:cs="黑体"/>
              <w:color w:val="auto"/>
              <w:sz w:val="30"/>
              <w:szCs w:val="30"/>
            </w:rPr>
            <w:tab/>
          </w:r>
          <w:r>
            <w:rPr>
              <w:rFonts w:hint="eastAsia" w:ascii="黑体" w:hAnsi="黑体" w:eastAsia="黑体" w:cs="黑体"/>
              <w:color w:val="auto"/>
              <w:sz w:val="30"/>
              <w:szCs w:val="30"/>
              <w:lang w:val="en-US" w:eastAsia="zh-CN"/>
            </w:rPr>
            <w:t>1</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lang w:val="en-US" w:eastAsia="zh-CN"/>
            </w:rPr>
            <w:t>0</w:t>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_Toc26363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（三）提升节水意识</w:t>
          </w:r>
          <w:r>
            <w:rPr>
              <w:rFonts w:hint="eastAsia" w:ascii="黑体" w:hAnsi="黑体" w:eastAsia="黑体" w:cs="黑体"/>
              <w:color w:val="auto"/>
              <w:sz w:val="30"/>
              <w:szCs w:val="30"/>
            </w:rPr>
            <w:tab/>
          </w: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PAGEREF _Toc26363 \h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1</w:t>
          </w:r>
          <w:r>
            <w:rPr>
              <w:rFonts w:hint="eastAsia" w:ascii="黑体" w:hAnsi="黑体" w:eastAsia="黑体" w:cs="黑体"/>
              <w:color w:val="auto"/>
              <w:sz w:val="30"/>
              <w:szCs w:val="30"/>
              <w:lang w:val="en-US" w:eastAsia="zh-CN"/>
            </w:rPr>
            <w:t>1</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_Toc30631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（四）强化科技支撑</w:t>
          </w:r>
          <w:r>
            <w:rPr>
              <w:rFonts w:hint="eastAsia" w:ascii="黑体" w:hAnsi="黑体" w:eastAsia="黑体" w:cs="黑体"/>
              <w:color w:val="auto"/>
              <w:sz w:val="30"/>
              <w:szCs w:val="30"/>
            </w:rPr>
            <w:tab/>
          </w: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PAGEREF _Toc30631 \h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1</w:t>
          </w:r>
          <w:r>
            <w:rPr>
              <w:rFonts w:hint="eastAsia" w:ascii="黑体" w:hAnsi="黑体" w:eastAsia="黑体" w:cs="黑体"/>
              <w:color w:val="auto"/>
              <w:sz w:val="30"/>
              <w:szCs w:val="30"/>
              <w:lang w:val="en-US" w:eastAsia="zh-CN"/>
            </w:rPr>
            <w:t>2</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_Toc12631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lang w:eastAsia="zh-CN"/>
            </w:rPr>
            <w:t>四</w:t>
          </w:r>
          <w:r>
            <w:rPr>
              <w:rFonts w:hint="eastAsia" w:ascii="黑体" w:hAnsi="黑体" w:eastAsia="黑体" w:cs="黑体"/>
              <w:bCs w:val="0"/>
              <w:color w:val="auto"/>
              <w:sz w:val="30"/>
              <w:szCs w:val="30"/>
            </w:rPr>
            <w:t>、各领域节水措施</w:t>
          </w:r>
          <w:r>
            <w:rPr>
              <w:rFonts w:hint="eastAsia" w:ascii="黑体" w:hAnsi="黑体" w:eastAsia="黑体" w:cs="黑体"/>
              <w:color w:val="auto"/>
              <w:sz w:val="30"/>
              <w:szCs w:val="30"/>
            </w:rPr>
            <w:tab/>
          </w: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PAGEREF _Toc12631 \h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1</w:t>
          </w:r>
          <w:r>
            <w:rPr>
              <w:rFonts w:hint="eastAsia" w:ascii="黑体" w:hAnsi="黑体" w:eastAsia="黑体" w:cs="黑体"/>
              <w:color w:val="auto"/>
              <w:sz w:val="30"/>
              <w:szCs w:val="30"/>
              <w:lang w:val="en-US" w:eastAsia="zh-CN"/>
            </w:rPr>
            <w:t>2</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_Toc28446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（一）农牧业和农村节水</w:t>
          </w:r>
          <w:r>
            <w:rPr>
              <w:rFonts w:hint="eastAsia" w:ascii="黑体" w:hAnsi="黑体" w:eastAsia="黑体" w:cs="黑体"/>
              <w:color w:val="auto"/>
              <w:sz w:val="30"/>
              <w:szCs w:val="30"/>
            </w:rPr>
            <w:tab/>
          </w: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PAGEREF _Toc28446 \h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1</w:t>
          </w:r>
          <w:r>
            <w:rPr>
              <w:rFonts w:hint="eastAsia" w:ascii="黑体" w:hAnsi="黑体" w:eastAsia="黑体" w:cs="黑体"/>
              <w:color w:val="auto"/>
              <w:sz w:val="30"/>
              <w:szCs w:val="30"/>
              <w:lang w:val="en-US" w:eastAsia="zh-CN"/>
            </w:rPr>
            <w:t>2</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_Toc11122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（二）工业节水</w:t>
          </w:r>
          <w:r>
            <w:rPr>
              <w:rFonts w:hint="eastAsia" w:ascii="黑体" w:hAnsi="黑体" w:eastAsia="黑体" w:cs="黑体"/>
              <w:color w:val="auto"/>
              <w:sz w:val="30"/>
              <w:szCs w:val="30"/>
            </w:rPr>
            <w:tab/>
          </w: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PAGEREF _Toc11122 \h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1</w:t>
          </w:r>
          <w:r>
            <w:rPr>
              <w:rFonts w:hint="eastAsia" w:ascii="黑体" w:hAnsi="黑体" w:eastAsia="黑体" w:cs="黑体"/>
              <w:color w:val="auto"/>
              <w:sz w:val="30"/>
              <w:szCs w:val="30"/>
              <w:lang w:val="en-US" w:eastAsia="zh-CN"/>
            </w:rPr>
            <w:t>4</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_Toc13035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w:t>
          </w:r>
          <w:r>
            <w:rPr>
              <w:rFonts w:hint="eastAsia" w:ascii="黑体" w:hAnsi="黑体" w:eastAsia="黑体" w:cs="黑体"/>
              <w:color w:val="auto"/>
              <w:sz w:val="30"/>
              <w:szCs w:val="30"/>
              <w:lang w:val="en-US" w:eastAsia="zh-CN"/>
            </w:rPr>
            <w:t>三</w:t>
          </w:r>
          <w:r>
            <w:rPr>
              <w:rFonts w:hint="eastAsia" w:ascii="黑体" w:hAnsi="黑体" w:eastAsia="黑体" w:cs="黑体"/>
              <w:color w:val="auto"/>
              <w:sz w:val="30"/>
              <w:szCs w:val="30"/>
            </w:rPr>
            <w:t>）城镇节水</w:t>
          </w:r>
          <w:r>
            <w:rPr>
              <w:rFonts w:hint="eastAsia" w:ascii="黑体" w:hAnsi="黑体" w:eastAsia="黑体" w:cs="黑体"/>
              <w:color w:val="auto"/>
              <w:sz w:val="30"/>
              <w:szCs w:val="30"/>
            </w:rPr>
            <w:tab/>
          </w:r>
          <w:r>
            <w:rPr>
              <w:rFonts w:hint="eastAsia" w:ascii="黑体" w:hAnsi="黑体" w:eastAsia="黑体" w:cs="黑体"/>
              <w:color w:val="auto"/>
              <w:sz w:val="30"/>
              <w:szCs w:val="30"/>
              <w:lang w:val="en-US" w:eastAsia="zh-CN"/>
            </w:rPr>
            <w:t>1</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lang w:val="en-US" w:eastAsia="zh-CN"/>
            </w:rPr>
            <w:t>6</w:t>
          </w:r>
        </w:p>
        <w:p>
          <w:pPr>
            <w:pStyle w:val="23"/>
            <w:tabs>
              <w:tab w:val="right" w:leader="dot" w:pos="8306"/>
            </w:tabs>
            <w:ind w:left="0" w:leftChars="0" w:firstLine="300" w:firstLineChars="1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_Toc20174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w:t>
          </w:r>
          <w:r>
            <w:rPr>
              <w:rFonts w:hint="eastAsia" w:ascii="黑体" w:hAnsi="黑体" w:eastAsia="黑体" w:cs="黑体"/>
              <w:color w:val="auto"/>
              <w:sz w:val="30"/>
              <w:szCs w:val="30"/>
              <w:lang w:val="en-US" w:eastAsia="zh-CN"/>
            </w:rPr>
            <w:t>四</w:t>
          </w:r>
          <w:r>
            <w:rPr>
              <w:rFonts w:hint="eastAsia" w:ascii="黑体" w:hAnsi="黑体" w:eastAsia="黑体" w:cs="黑体"/>
              <w:color w:val="auto"/>
              <w:sz w:val="30"/>
              <w:szCs w:val="30"/>
            </w:rPr>
            <w:t>）非常规水源利用</w:t>
          </w:r>
          <w:r>
            <w:rPr>
              <w:rFonts w:hint="eastAsia" w:ascii="黑体" w:hAnsi="黑体" w:eastAsia="黑体" w:cs="黑体"/>
              <w:color w:val="auto"/>
              <w:sz w:val="30"/>
              <w:szCs w:val="30"/>
            </w:rPr>
            <w:tab/>
          </w:r>
          <w:r>
            <w:rPr>
              <w:rFonts w:hint="eastAsia" w:ascii="黑体" w:hAnsi="黑体" w:eastAsia="黑体" w:cs="黑体"/>
              <w:color w:val="auto"/>
              <w:sz w:val="30"/>
              <w:szCs w:val="30"/>
              <w:lang w:val="en-US" w:eastAsia="zh-CN"/>
            </w:rPr>
            <w:t>1</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lang w:val="en-US" w:eastAsia="zh-CN"/>
            </w:rPr>
            <w:t>8</w:t>
          </w:r>
        </w:p>
        <w:p>
          <w:pPr>
            <w:rPr>
              <w:rFonts w:hint="eastAsia" w:ascii="黑体" w:hAnsi="黑体" w:eastAsia="黑体" w:cs="黑体"/>
              <w:color w:val="auto"/>
              <w:sz w:val="30"/>
              <w:szCs w:val="30"/>
            </w:rPr>
          </w:pPr>
        </w:p>
        <w:p>
          <w:pPr>
            <w:pStyle w:val="8"/>
            <w:rPr>
              <w:rFonts w:hint="eastAsia"/>
              <w:color w:val="auto"/>
            </w:rPr>
          </w:pPr>
        </w:p>
        <w:p>
          <w:pPr>
            <w:pStyle w:val="23"/>
            <w:tabs>
              <w:tab w:val="right" w:leader="dot" w:pos="8306"/>
            </w:tabs>
            <w:ind w:left="0" w:leftChars="0" w:firstLine="300" w:firstLineChars="1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_Toc27949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lang w:eastAsia="zh-CN"/>
            </w:rPr>
            <w:t>五</w:t>
          </w:r>
          <w:r>
            <w:rPr>
              <w:rFonts w:hint="eastAsia" w:ascii="黑体" w:hAnsi="黑体" w:eastAsia="黑体" w:cs="黑体"/>
              <w:bCs w:val="0"/>
              <w:color w:val="auto"/>
              <w:sz w:val="30"/>
              <w:szCs w:val="30"/>
            </w:rPr>
            <w:t>、保障措施</w:t>
          </w:r>
          <w:r>
            <w:rPr>
              <w:rFonts w:hint="eastAsia" w:ascii="黑体" w:hAnsi="黑体" w:eastAsia="黑体" w:cs="黑体"/>
              <w:color w:val="auto"/>
              <w:sz w:val="30"/>
              <w:szCs w:val="30"/>
            </w:rPr>
            <w:tab/>
          </w:r>
          <w:r>
            <w:rPr>
              <w:rFonts w:hint="eastAsia" w:ascii="黑体" w:hAnsi="黑体" w:eastAsia="黑体" w:cs="黑体"/>
              <w:color w:val="auto"/>
              <w:sz w:val="30"/>
              <w:szCs w:val="30"/>
              <w:lang w:val="en-US" w:eastAsia="zh-CN"/>
            </w:rPr>
            <w:t>1</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lang w:val="en-US" w:eastAsia="zh-CN"/>
            </w:rPr>
            <w:t>9</w:t>
          </w:r>
        </w:p>
        <w:p>
          <w:pPr>
            <w:pStyle w:val="23"/>
            <w:tabs>
              <w:tab w:val="right" w:leader="dot" w:pos="8306"/>
            </w:tabs>
            <w:ind w:left="0" w:leftChars="0" w:firstLine="300" w:firstLineChars="1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_Toc24874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（一）加强组织协调</w:t>
          </w:r>
          <w:r>
            <w:rPr>
              <w:rFonts w:hint="eastAsia" w:ascii="黑体" w:hAnsi="黑体" w:eastAsia="黑体" w:cs="黑体"/>
              <w:color w:val="auto"/>
              <w:sz w:val="30"/>
              <w:szCs w:val="30"/>
            </w:rPr>
            <w:tab/>
          </w:r>
          <w:r>
            <w:rPr>
              <w:rFonts w:hint="eastAsia" w:ascii="黑体" w:hAnsi="黑体" w:eastAsia="黑体" w:cs="黑体"/>
              <w:color w:val="auto"/>
              <w:sz w:val="30"/>
              <w:szCs w:val="30"/>
              <w:lang w:val="en-US" w:eastAsia="zh-CN"/>
            </w:rPr>
            <w:t>1</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lang w:val="en-US" w:eastAsia="zh-CN"/>
            </w:rPr>
            <w:t>9</w:t>
          </w:r>
        </w:p>
        <w:p>
          <w:pPr>
            <w:pStyle w:val="23"/>
            <w:tabs>
              <w:tab w:val="right" w:leader="dot" w:pos="8306"/>
            </w:tabs>
            <w:ind w:left="0" w:leftChars="0" w:firstLine="300" w:firstLineChars="10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_Toc26711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w:t>
          </w:r>
          <w:r>
            <w:rPr>
              <w:rFonts w:hint="eastAsia" w:ascii="黑体" w:hAnsi="黑体" w:eastAsia="黑体" w:cs="黑体"/>
              <w:color w:val="auto"/>
              <w:sz w:val="30"/>
              <w:szCs w:val="30"/>
              <w:lang w:val="en-US" w:eastAsia="zh-CN"/>
            </w:rPr>
            <w:t>二</w:t>
          </w:r>
          <w:r>
            <w:rPr>
              <w:rFonts w:hint="eastAsia" w:ascii="黑体" w:hAnsi="黑体" w:eastAsia="黑体" w:cs="黑体"/>
              <w:color w:val="auto"/>
              <w:sz w:val="30"/>
              <w:szCs w:val="30"/>
            </w:rPr>
            <w:t>）健全法规标准</w:t>
          </w:r>
          <w:r>
            <w:rPr>
              <w:rFonts w:hint="eastAsia" w:ascii="黑体" w:hAnsi="黑体" w:eastAsia="黑体" w:cs="黑体"/>
              <w:color w:val="auto"/>
              <w:sz w:val="30"/>
              <w:szCs w:val="30"/>
            </w:rPr>
            <w:tab/>
          </w:r>
          <w:r>
            <w:rPr>
              <w:rFonts w:hint="eastAsia" w:ascii="黑体" w:hAnsi="黑体" w:eastAsia="黑体" w:cs="黑体"/>
              <w:color w:val="auto"/>
              <w:sz w:val="30"/>
              <w:szCs w:val="30"/>
              <w:lang w:val="en-US" w:eastAsia="zh-CN"/>
            </w:rPr>
            <w:t>1</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lang w:val="en-US" w:eastAsia="zh-CN"/>
            </w:rPr>
            <w:t>9</w:t>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_Toc30739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w:t>
          </w:r>
          <w:r>
            <w:rPr>
              <w:rFonts w:hint="eastAsia" w:ascii="黑体" w:hAnsi="黑体" w:eastAsia="黑体" w:cs="黑体"/>
              <w:color w:val="auto"/>
              <w:sz w:val="30"/>
              <w:szCs w:val="30"/>
              <w:lang w:val="en-US" w:eastAsia="zh-CN"/>
            </w:rPr>
            <w:t>三</w:t>
          </w:r>
          <w:r>
            <w:rPr>
              <w:rFonts w:hint="eastAsia" w:ascii="黑体" w:hAnsi="黑体" w:eastAsia="黑体" w:cs="黑体"/>
              <w:color w:val="auto"/>
              <w:sz w:val="30"/>
              <w:szCs w:val="30"/>
            </w:rPr>
            <w:t>）完善投入机制</w:t>
          </w:r>
          <w:r>
            <w:rPr>
              <w:rFonts w:hint="eastAsia" w:ascii="黑体" w:hAnsi="黑体" w:eastAsia="黑体" w:cs="黑体"/>
              <w:color w:val="auto"/>
              <w:sz w:val="30"/>
              <w:szCs w:val="30"/>
            </w:rPr>
            <w:tab/>
          </w: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PAGEREF _Toc30739 \h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2</w:t>
          </w:r>
          <w:r>
            <w:rPr>
              <w:rFonts w:hint="eastAsia" w:ascii="黑体" w:hAnsi="黑体" w:eastAsia="黑体" w:cs="黑体"/>
              <w:color w:val="auto"/>
              <w:sz w:val="30"/>
              <w:szCs w:val="30"/>
              <w:lang w:val="en-US" w:eastAsia="zh-CN"/>
            </w:rPr>
            <w:t>0</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rPr>
            <w:fldChar w:fldCharType="end"/>
          </w:r>
        </w:p>
        <w:p>
          <w:pPr>
            <w:pStyle w:val="23"/>
            <w:tabs>
              <w:tab w:val="right" w:leader="dot" w:pos="8306"/>
            </w:tabs>
            <w:ind w:left="0" w:leftChars="0" w:firstLine="300" w:firstLineChars="100"/>
            <w:rPr>
              <w:rFonts w:hint="eastAsia" w:ascii="黑体" w:hAnsi="黑体" w:eastAsia="黑体" w:cs="黑体"/>
              <w:color w:val="auto"/>
              <w:sz w:val="30"/>
              <w:szCs w:val="30"/>
            </w:rPr>
          </w:pP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HYPERLINK \l _Toc11524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（四）强化监督考核</w:t>
          </w:r>
          <w:r>
            <w:rPr>
              <w:rFonts w:hint="eastAsia" w:ascii="黑体" w:hAnsi="黑体" w:eastAsia="黑体" w:cs="黑体"/>
              <w:color w:val="auto"/>
              <w:sz w:val="30"/>
              <w:szCs w:val="30"/>
            </w:rPr>
            <w:tab/>
          </w:r>
          <w:r>
            <w:rPr>
              <w:rFonts w:hint="eastAsia" w:ascii="黑体" w:hAnsi="黑体" w:eastAsia="黑体" w:cs="黑体"/>
              <w:color w:val="auto"/>
              <w:sz w:val="30"/>
              <w:szCs w:val="30"/>
            </w:rPr>
            <w:fldChar w:fldCharType="begin"/>
          </w:r>
          <w:r>
            <w:rPr>
              <w:rFonts w:hint="eastAsia" w:ascii="黑体" w:hAnsi="黑体" w:eastAsia="黑体" w:cs="黑体"/>
              <w:color w:val="auto"/>
              <w:sz w:val="30"/>
              <w:szCs w:val="30"/>
            </w:rPr>
            <w:instrText xml:space="preserve"> PAGEREF _Toc11524 \h </w:instrText>
          </w:r>
          <w:r>
            <w:rPr>
              <w:rFonts w:hint="eastAsia" w:ascii="黑体" w:hAnsi="黑体" w:eastAsia="黑体" w:cs="黑体"/>
              <w:color w:val="auto"/>
              <w:sz w:val="30"/>
              <w:szCs w:val="30"/>
            </w:rPr>
            <w:fldChar w:fldCharType="separate"/>
          </w:r>
          <w:r>
            <w:rPr>
              <w:rFonts w:hint="eastAsia" w:ascii="黑体" w:hAnsi="黑体" w:eastAsia="黑体" w:cs="黑体"/>
              <w:color w:val="auto"/>
              <w:sz w:val="30"/>
              <w:szCs w:val="30"/>
            </w:rPr>
            <w:t>2</w:t>
          </w:r>
          <w:r>
            <w:rPr>
              <w:rFonts w:hint="eastAsia" w:ascii="黑体" w:hAnsi="黑体" w:eastAsia="黑体" w:cs="黑体"/>
              <w:color w:val="auto"/>
              <w:sz w:val="30"/>
              <w:szCs w:val="30"/>
              <w:lang w:val="en-US" w:eastAsia="zh-CN"/>
            </w:rPr>
            <w:t>0</w:t>
          </w:r>
          <w:r>
            <w:rPr>
              <w:rFonts w:hint="eastAsia" w:ascii="黑体" w:hAnsi="黑体" w:eastAsia="黑体" w:cs="黑体"/>
              <w:color w:val="auto"/>
              <w:sz w:val="30"/>
              <w:szCs w:val="30"/>
            </w:rPr>
            <w:fldChar w:fldCharType="end"/>
          </w:r>
          <w:r>
            <w:rPr>
              <w:rFonts w:hint="eastAsia" w:ascii="黑体" w:hAnsi="黑体" w:eastAsia="黑体" w:cs="黑体"/>
              <w:color w:val="auto"/>
              <w:sz w:val="30"/>
              <w:szCs w:val="30"/>
            </w:rPr>
            <w:fldChar w:fldCharType="end"/>
          </w:r>
        </w:p>
        <w:p>
          <w:pPr>
            <w:pStyle w:val="23"/>
            <w:tabs>
              <w:tab w:val="right" w:leader="dot" w:pos="8306"/>
            </w:tabs>
            <w:rPr>
              <w:rFonts w:hint="eastAsia" w:ascii="黑体" w:hAnsi="黑体" w:eastAsia="黑体" w:cs="黑体"/>
              <w:color w:val="auto"/>
              <w:sz w:val="30"/>
              <w:szCs w:val="30"/>
            </w:rPr>
          </w:pPr>
        </w:p>
        <w:p>
          <w:pPr>
            <w:pStyle w:val="20"/>
            <w:tabs>
              <w:tab w:val="right" w:leader="dot" w:pos="8306"/>
            </w:tabs>
            <w:rPr>
              <w:rFonts w:hint="eastAsia" w:ascii="黑体" w:hAnsi="黑体" w:eastAsia="黑体" w:cs="黑体"/>
              <w:color w:val="auto"/>
              <w:sz w:val="30"/>
              <w:szCs w:val="30"/>
            </w:rPr>
          </w:pPr>
          <w:r>
            <w:rPr>
              <w:rFonts w:hint="eastAsia" w:ascii="黑体" w:hAnsi="黑体" w:eastAsia="黑体" w:cs="黑体"/>
              <w:color w:val="auto"/>
              <w:sz w:val="30"/>
              <w:szCs w:val="30"/>
            </w:rPr>
            <w:fldChar w:fldCharType="end"/>
          </w:r>
        </w:p>
      </w:sdtContent>
    </w:sdt>
    <w:bookmarkEnd w:id="1"/>
    <w:p>
      <w:pPr>
        <w:spacing w:line="620" w:lineRule="exact"/>
        <w:rPr>
          <w:color w:val="auto"/>
        </w:rPr>
      </w:pPr>
      <w:bookmarkStart w:id="10" w:name="_Toc36060019"/>
    </w:p>
    <w:p>
      <w:pPr>
        <w:widowControl/>
        <w:spacing w:line="620" w:lineRule="exact"/>
        <w:jc w:val="left"/>
        <w:rPr>
          <w:color w:val="auto"/>
        </w:rPr>
      </w:pPr>
    </w:p>
    <w:p>
      <w:pPr>
        <w:spacing w:line="620" w:lineRule="exact"/>
        <w:rPr>
          <w:color w:val="auto"/>
        </w:rPr>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start="1"/>
          <w:cols w:space="425" w:num="1"/>
          <w:docGrid w:type="lines" w:linePitch="312" w:charSpace="0"/>
        </w:sectPr>
      </w:pPr>
    </w:p>
    <w:bookmarkEnd w:id="10"/>
    <w:p>
      <w:pPr>
        <w:adjustRightInd w:val="0"/>
        <w:snapToGrid w:val="0"/>
        <w:spacing w:line="620" w:lineRule="exact"/>
        <w:ind w:firstLine="420" w:firstLineChars="200"/>
        <w:rPr>
          <w:rFonts w:ascii="Times New Roman" w:hAnsi="Times New Roman" w:eastAsia="仿宋" w:cs="Times New Roman"/>
          <w:color w:val="auto"/>
          <w:szCs w:val="21"/>
        </w:rPr>
      </w:pPr>
    </w:p>
    <w:p>
      <w:pPr>
        <w:pStyle w:val="3"/>
        <w:adjustRightInd w:val="0"/>
        <w:snapToGrid w:val="0"/>
        <w:spacing w:before="240" w:after="240" w:line="620" w:lineRule="exact"/>
        <w:jc w:val="center"/>
        <w:rPr>
          <w:rFonts w:ascii="Times New Roman" w:hAnsi="Times New Roman" w:eastAsia="黑体" w:cs="Times New Roman"/>
          <w:b w:val="0"/>
          <w:color w:val="auto"/>
          <w:sz w:val="36"/>
          <w:szCs w:val="36"/>
        </w:rPr>
      </w:pPr>
      <w:bookmarkStart w:id="11" w:name="_Toc24501"/>
      <w:r>
        <w:rPr>
          <w:rFonts w:hint="eastAsia" w:ascii="Times New Roman" w:hAnsi="Times New Roman" w:eastAsia="黑体" w:cs="Times New Roman"/>
          <w:b w:val="0"/>
          <w:color w:val="auto"/>
          <w:sz w:val="36"/>
          <w:szCs w:val="36"/>
        </w:rPr>
        <w:t xml:space="preserve">前 </w:t>
      </w:r>
      <w:r>
        <w:rPr>
          <w:rFonts w:ascii="Times New Roman" w:hAnsi="Times New Roman" w:eastAsia="黑体" w:cs="Times New Roman"/>
          <w:b w:val="0"/>
          <w:color w:val="auto"/>
          <w:sz w:val="36"/>
          <w:szCs w:val="36"/>
        </w:rPr>
        <w:t xml:space="preserve"> </w:t>
      </w:r>
      <w:r>
        <w:rPr>
          <w:rFonts w:hint="eastAsia" w:ascii="Times New Roman" w:hAnsi="Times New Roman" w:eastAsia="黑体" w:cs="Times New Roman"/>
          <w:b w:val="0"/>
          <w:color w:val="auto"/>
          <w:sz w:val="36"/>
          <w:szCs w:val="36"/>
        </w:rPr>
        <w:t>言</w:t>
      </w:r>
      <w:bookmarkEnd w:id="11"/>
    </w:p>
    <w:p>
      <w:pPr>
        <w:pageBreakBefore w:val="0"/>
        <w:kinsoku/>
        <w:wordWrap/>
        <w:overflowPunct/>
        <w:topLinePunct w:val="0"/>
        <w:autoSpaceDE/>
        <w:autoSpaceDN/>
        <w:bidi w:val="0"/>
        <w:adjustRightInd w:val="0"/>
        <w:spacing w:line="620" w:lineRule="exact"/>
        <w:ind w:firstLine="600" w:firstLineChars="200"/>
        <w:rPr>
          <w:rFonts w:hint="eastAsia" w:ascii="Times New Roman" w:hAnsi="Times New Roman" w:eastAsia="仿宋" w:cs="Times New Roman"/>
          <w:b w:val="0"/>
          <w:bCs w:val="0"/>
          <w:sz w:val="30"/>
          <w:szCs w:val="30"/>
          <w:highlight w:val="none"/>
          <w:lang w:val="en-US" w:eastAsia="zh-CN"/>
        </w:rPr>
      </w:pPr>
      <w:bookmarkStart w:id="12" w:name="_Toc28116"/>
      <w:r>
        <w:rPr>
          <w:rFonts w:hint="eastAsia" w:ascii="Times New Roman" w:hAnsi="Times New Roman" w:eastAsia="仿宋" w:cs="Times New Roman"/>
          <w:b w:val="0"/>
          <w:bCs w:val="0"/>
          <w:sz w:val="30"/>
          <w:szCs w:val="30"/>
          <w:highlight w:val="none"/>
        </w:rPr>
        <w:t>根据全国第三次水资源调查评价初步成果，</w:t>
      </w:r>
      <w:r>
        <w:rPr>
          <w:rFonts w:hint="eastAsia" w:ascii="Times New Roman" w:hAnsi="Times New Roman" w:eastAsia="仿宋" w:cs="Times New Roman"/>
          <w:b w:val="0"/>
          <w:bCs w:val="0"/>
          <w:sz w:val="30"/>
          <w:szCs w:val="30"/>
          <w:highlight w:val="none"/>
          <w:lang w:eastAsia="zh-CN"/>
        </w:rPr>
        <w:t>内蒙古自治区</w:t>
      </w:r>
      <w:r>
        <w:rPr>
          <w:rFonts w:hint="eastAsia" w:ascii="Times New Roman" w:hAnsi="Times New Roman" w:eastAsia="仿宋" w:cs="Times New Roman"/>
          <w:b w:val="0"/>
          <w:bCs w:val="0"/>
          <w:sz w:val="30"/>
          <w:szCs w:val="30"/>
          <w:highlight w:val="none"/>
        </w:rPr>
        <w:t>水资源总量为515.72亿立方米，其中地表水资源量370.02亿立方米，地下水资源量217.82亿立方米，重复计算量72.12亿立方米。全区人均水资源量2055 立方米，与全国平均水平接近（2100 立方米），除松花江流域外，其余地区人均水资源量仅为800 立方米左右，为全国人均水资源量的2/5，属于水资源极度匮乏地区。</w:t>
      </w:r>
      <w:r>
        <w:rPr>
          <w:rFonts w:hint="eastAsia" w:ascii="Times New Roman" w:hAnsi="Times New Roman" w:eastAsia="仿宋" w:cs="Times New Roman"/>
          <w:b w:val="0"/>
          <w:bCs w:val="0"/>
          <w:sz w:val="30"/>
          <w:szCs w:val="30"/>
          <w:highlight w:val="none"/>
          <w:lang w:val="en-US" w:eastAsia="zh-CN"/>
        </w:rPr>
        <w:t>气候干旱、降水稀少、水资源时空分布不均是我区基本特点，水资源严重短缺是我区基本水情。</w:t>
      </w:r>
    </w:p>
    <w:p>
      <w:pPr>
        <w:pageBreakBefore w:val="0"/>
        <w:kinsoku/>
        <w:wordWrap/>
        <w:overflowPunct/>
        <w:topLinePunct w:val="0"/>
        <w:autoSpaceDE/>
        <w:autoSpaceDN/>
        <w:bidi w:val="0"/>
        <w:adjustRightInd w:val="0"/>
        <w:spacing w:line="620" w:lineRule="exact"/>
        <w:ind w:firstLine="600" w:firstLineChars="200"/>
        <w:rPr>
          <w:rFonts w:hint="eastAsia" w:ascii="Times New Roman" w:hAnsi="Times New Roman" w:eastAsia="仿宋" w:cs="Times New Roman"/>
          <w:b w:val="0"/>
          <w:bCs w:val="0"/>
          <w:sz w:val="30"/>
          <w:szCs w:val="30"/>
          <w:highlight w:val="none"/>
          <w:lang w:eastAsia="zh-CN"/>
        </w:rPr>
      </w:pPr>
      <w:r>
        <w:rPr>
          <w:rFonts w:hint="eastAsia" w:ascii="Times New Roman" w:hAnsi="Times New Roman" w:eastAsia="仿宋" w:cs="Times New Roman"/>
          <w:b w:val="0"/>
          <w:bCs w:val="0"/>
          <w:sz w:val="30"/>
          <w:szCs w:val="30"/>
          <w:highlight w:val="none"/>
        </w:rPr>
        <w:t>2014年，习近平总书记在中央财经领导小组第5次全体会议上，提出“节水优先、空间均衡、系统治理、两手发力”的新时期治水思路，强调要把节水放在优先位置”。2019年</w:t>
      </w:r>
      <w:r>
        <w:rPr>
          <w:rFonts w:hint="eastAsia" w:ascii="Times New Roman" w:hAnsi="Times New Roman" w:eastAsia="仿宋" w:cs="Times New Roman"/>
          <w:b w:val="0"/>
          <w:bCs w:val="0"/>
          <w:sz w:val="30"/>
          <w:szCs w:val="30"/>
          <w:highlight w:val="none"/>
          <w:lang w:eastAsia="zh-CN"/>
        </w:rPr>
        <w:t>和</w:t>
      </w:r>
      <w:r>
        <w:rPr>
          <w:rFonts w:hint="eastAsia" w:ascii="Times New Roman" w:hAnsi="Times New Roman" w:eastAsia="仿宋" w:cs="Times New Roman"/>
          <w:b w:val="0"/>
          <w:bCs w:val="0"/>
          <w:sz w:val="30"/>
          <w:szCs w:val="30"/>
          <w:highlight w:val="none"/>
          <w:lang w:val="en-US" w:eastAsia="zh-CN"/>
        </w:rPr>
        <w:t>2021年，分别</w:t>
      </w:r>
      <w:r>
        <w:rPr>
          <w:rFonts w:hint="eastAsia" w:ascii="Times New Roman" w:hAnsi="Times New Roman" w:eastAsia="仿宋" w:cs="Times New Roman"/>
          <w:b w:val="0"/>
          <w:bCs w:val="0"/>
          <w:sz w:val="30"/>
          <w:szCs w:val="30"/>
          <w:highlight w:val="none"/>
        </w:rPr>
        <w:t>在</w:t>
      </w:r>
      <w:r>
        <w:rPr>
          <w:rFonts w:hint="eastAsia" w:ascii="Times New Roman" w:hAnsi="Times New Roman" w:eastAsia="仿宋" w:cs="Times New Roman"/>
          <w:b w:val="0"/>
          <w:bCs w:val="0"/>
          <w:sz w:val="30"/>
          <w:szCs w:val="30"/>
          <w:highlight w:val="none"/>
          <w:lang w:eastAsia="zh-CN"/>
        </w:rPr>
        <w:t>两次</w:t>
      </w:r>
      <w:r>
        <w:rPr>
          <w:rFonts w:hint="eastAsia" w:ascii="Times New Roman" w:hAnsi="Times New Roman" w:eastAsia="仿宋" w:cs="Times New Roman"/>
          <w:b w:val="0"/>
          <w:bCs w:val="0"/>
          <w:sz w:val="30"/>
          <w:szCs w:val="30"/>
          <w:highlight w:val="none"/>
        </w:rPr>
        <w:t>黄河流域生态保护和高质量发展座谈会上，提出要“坚持以水定城、以水定地、以水定人、以水定产，把水资源作为最大的刚性约束</w:t>
      </w:r>
      <w:r>
        <w:rPr>
          <w:rFonts w:hint="eastAsia" w:ascii="Times New Roman" w:hAnsi="Times New Roman" w:eastAsia="仿宋" w:cs="Times New Roman"/>
          <w:b w:val="0"/>
          <w:bCs w:val="0"/>
          <w:sz w:val="30"/>
          <w:szCs w:val="30"/>
          <w:highlight w:val="none"/>
          <w:lang w:eastAsia="zh-CN"/>
        </w:rPr>
        <w:t>”</w:t>
      </w:r>
      <w:r>
        <w:rPr>
          <w:rFonts w:hint="eastAsia" w:ascii="Times New Roman" w:hAnsi="Times New Roman" w:eastAsia="仿宋" w:cs="Times New Roman"/>
          <w:b w:val="0"/>
          <w:bCs w:val="0"/>
          <w:sz w:val="30"/>
          <w:szCs w:val="30"/>
          <w:highlight w:val="none"/>
        </w:rPr>
        <w:t>，要“</w:t>
      </w:r>
      <w:r>
        <w:rPr>
          <w:rFonts w:hint="eastAsia" w:ascii="Times New Roman" w:hAnsi="Times New Roman" w:eastAsia="仿宋" w:cs="Times New Roman"/>
          <w:b w:val="0"/>
          <w:bCs w:val="0"/>
          <w:sz w:val="30"/>
          <w:szCs w:val="30"/>
          <w:highlight w:val="none"/>
          <w:lang w:eastAsia="zh-CN"/>
        </w:rPr>
        <w:t>走好水安全有效保障、水资源高效利用、水生态明显改善的集约节约发展之路</w:t>
      </w:r>
      <w:r>
        <w:rPr>
          <w:rFonts w:hint="eastAsia" w:ascii="Times New Roman" w:hAnsi="Times New Roman" w:eastAsia="仿宋" w:cs="Times New Roman"/>
          <w:b w:val="0"/>
          <w:bCs w:val="0"/>
          <w:sz w:val="30"/>
          <w:szCs w:val="30"/>
          <w:highlight w:val="none"/>
        </w:rPr>
        <w:t>”。习近平总书记重要讲话</w:t>
      </w:r>
      <w:r>
        <w:rPr>
          <w:rFonts w:hint="eastAsia" w:ascii="Times New Roman" w:hAnsi="Times New Roman" w:eastAsia="仿宋" w:cs="Times New Roman"/>
          <w:b w:val="0"/>
          <w:bCs w:val="0"/>
          <w:sz w:val="30"/>
          <w:szCs w:val="30"/>
          <w:highlight w:val="none"/>
          <w:lang w:eastAsia="zh-CN"/>
        </w:rPr>
        <w:t>指明解决水资源短缺问题首先要节水，要“四水四定”，抓好水资源集约节约工作。“十四五”时期，我区将继续在全区范围大力开展节水型社会建设，这既是破解我区</w:t>
      </w:r>
      <w:r>
        <w:rPr>
          <w:rFonts w:hint="eastAsia" w:ascii="Times New Roman" w:hAnsi="Times New Roman" w:eastAsia="仿宋" w:cs="Times New Roman"/>
          <w:b w:val="0"/>
          <w:bCs w:val="0"/>
          <w:sz w:val="30"/>
          <w:szCs w:val="30"/>
          <w:highlight w:val="none"/>
        </w:rPr>
        <w:t>水资源短缺、水生态损害、水环境污染问题的重要举措，</w:t>
      </w:r>
      <w:r>
        <w:rPr>
          <w:rFonts w:hint="eastAsia" w:ascii="Times New Roman" w:hAnsi="Times New Roman" w:eastAsia="仿宋" w:cs="Times New Roman"/>
          <w:b w:val="0"/>
          <w:bCs w:val="0"/>
          <w:sz w:val="30"/>
          <w:szCs w:val="30"/>
          <w:highlight w:val="none"/>
          <w:lang w:eastAsia="zh-CN"/>
        </w:rPr>
        <w:t>也</w:t>
      </w:r>
      <w:r>
        <w:rPr>
          <w:rFonts w:hint="eastAsia" w:ascii="Times New Roman" w:hAnsi="Times New Roman" w:eastAsia="仿宋" w:cs="Times New Roman"/>
          <w:b w:val="0"/>
          <w:bCs w:val="0"/>
          <w:sz w:val="30"/>
          <w:szCs w:val="30"/>
          <w:highlight w:val="none"/>
        </w:rPr>
        <w:t>是生态文明建设的重要环节，是经济社会高质量发展的重要支撑。</w:t>
      </w:r>
    </w:p>
    <w:p>
      <w:pPr>
        <w:pStyle w:val="4"/>
        <w:keepNext w:val="0"/>
        <w:keepLines w:val="0"/>
        <w:spacing w:before="217" w:beforeLines="50" w:after="217" w:afterLines="50" w:line="360" w:lineRule="auto"/>
        <w:ind w:firstLine="600" w:firstLineChars="200"/>
        <w:contextualSpacing/>
        <w:rPr>
          <w:rFonts w:hint="eastAsia" w:ascii="Times New Roman" w:hAnsi="Times New Roman" w:eastAsia="仿宋" w:cs="Times New Roman"/>
          <w:sz w:val="30"/>
          <w:szCs w:val="30"/>
          <w:highlight w:val="lightGray"/>
        </w:rPr>
      </w:pPr>
      <w:r>
        <w:rPr>
          <w:rFonts w:hint="eastAsia" w:ascii="Times New Roman" w:hAnsi="Times New Roman" w:eastAsia="仿宋" w:cs="Times New Roman"/>
          <w:b w:val="0"/>
          <w:bCs w:val="0"/>
          <w:sz w:val="30"/>
          <w:szCs w:val="30"/>
          <w:highlight w:val="none"/>
        </w:rPr>
        <w:t>为</w:t>
      </w:r>
      <w:r>
        <w:rPr>
          <w:rFonts w:hint="eastAsia" w:ascii="Times New Roman" w:hAnsi="Times New Roman" w:eastAsia="仿宋" w:cs="Times New Roman"/>
          <w:b w:val="0"/>
          <w:bCs w:val="0"/>
          <w:sz w:val="30"/>
          <w:szCs w:val="30"/>
          <w:highlight w:val="none"/>
          <w:lang w:eastAsia="zh-CN"/>
        </w:rPr>
        <w:t>推进自治区全社会节水，形成节水型生产生活方式，</w:t>
      </w:r>
      <w:r>
        <w:rPr>
          <w:rFonts w:hint="eastAsia" w:ascii="Times New Roman" w:hAnsi="Times New Roman" w:eastAsia="仿宋" w:cs="Times New Roman"/>
          <w:b w:val="0"/>
          <w:bCs w:val="0"/>
          <w:sz w:val="30"/>
          <w:szCs w:val="30"/>
          <w:highlight w:val="none"/>
        </w:rPr>
        <w:t>自治区水利厅牵头，联合相关部门，组织编制</w:t>
      </w:r>
      <w:r>
        <w:rPr>
          <w:rFonts w:hint="eastAsia" w:ascii="Times New Roman" w:hAnsi="Times New Roman" w:eastAsia="仿宋" w:cs="Times New Roman"/>
          <w:b w:val="0"/>
          <w:bCs w:val="0"/>
          <w:sz w:val="30"/>
          <w:szCs w:val="30"/>
          <w:highlight w:val="none"/>
          <w:lang w:eastAsia="zh-CN"/>
        </w:rPr>
        <w:t>本规划</w:t>
      </w:r>
      <w:r>
        <w:rPr>
          <w:rFonts w:hint="eastAsia" w:ascii="Times New Roman" w:hAnsi="Times New Roman" w:eastAsia="仿宋" w:cs="Times New Roman"/>
          <w:b w:val="0"/>
          <w:bCs w:val="0"/>
          <w:sz w:val="30"/>
          <w:szCs w:val="30"/>
          <w:highlight w:val="none"/>
        </w:rPr>
        <w:t>。</w:t>
      </w:r>
    </w:p>
    <w:p>
      <w:pPr>
        <w:pStyle w:val="4"/>
        <w:keepNext w:val="0"/>
        <w:keepLines w:val="0"/>
        <w:spacing w:before="217" w:beforeLines="50" w:after="217" w:afterLines="50" w:line="360" w:lineRule="auto"/>
        <w:ind w:firstLine="640" w:firstLineChars="200"/>
        <w:contextualSpacing/>
        <w:rPr>
          <w:rFonts w:ascii="黑体" w:hAnsi="黑体" w:eastAsia="黑体" w:cs="Times New Roman"/>
          <w:b w:val="0"/>
          <w:bCs w:val="0"/>
          <w:color w:val="auto"/>
          <w:sz w:val="32"/>
        </w:rPr>
      </w:pPr>
      <w:r>
        <w:rPr>
          <w:rFonts w:hint="eastAsia" w:ascii="黑体" w:hAnsi="黑体" w:eastAsia="黑体" w:cs="Times New Roman"/>
          <w:b w:val="0"/>
          <w:bCs w:val="0"/>
          <w:color w:val="auto"/>
          <w:sz w:val="32"/>
        </w:rPr>
        <w:t>一、现状与形势</w:t>
      </w:r>
      <w:bookmarkEnd w:id="12"/>
    </w:p>
    <w:p>
      <w:pPr>
        <w:pStyle w:val="4"/>
        <w:keepNext w:val="0"/>
        <w:keepLines w:val="0"/>
        <w:spacing w:before="217" w:beforeLines="50" w:after="217" w:afterLines="50" w:line="360" w:lineRule="auto"/>
        <w:ind w:firstLine="642" w:firstLineChars="200"/>
        <w:contextualSpacing/>
        <w:rPr>
          <w:rFonts w:ascii="仿宋" w:hAnsi="仿宋" w:cs="仿宋"/>
          <w:color w:val="auto"/>
          <w:sz w:val="32"/>
        </w:rPr>
      </w:pPr>
      <w:bookmarkStart w:id="13" w:name="_Toc18946"/>
      <w:r>
        <w:rPr>
          <w:rFonts w:hint="eastAsia" w:ascii="仿宋" w:hAnsi="仿宋" w:cs="仿宋"/>
          <w:color w:val="auto"/>
          <w:sz w:val="32"/>
        </w:rPr>
        <w:t>（一）“十三五”节水成效</w:t>
      </w:r>
      <w:bookmarkEnd w:id="13"/>
    </w:p>
    <w:p>
      <w:pPr>
        <w:pStyle w:val="8"/>
        <w:spacing w:line="360" w:lineRule="auto"/>
        <w:ind w:firstLine="600"/>
        <w:rPr>
          <w:rFonts w:eastAsia="仿宋_GB2312"/>
          <w:color w:val="auto"/>
          <w:sz w:val="30"/>
          <w:szCs w:val="30"/>
        </w:rPr>
      </w:pPr>
      <w:r>
        <w:rPr>
          <w:rFonts w:hint="eastAsia" w:eastAsia="仿宋_GB2312"/>
          <w:color w:val="auto"/>
          <w:sz w:val="30"/>
          <w:szCs w:val="30"/>
        </w:rPr>
        <w:t>“十三五”期间，我区深入贯彻落实习近平生态文明思想，始终把节水工作放在优先位置，制定了《</w:t>
      </w:r>
      <w:r>
        <w:rPr>
          <w:rFonts w:hint="eastAsia" w:ascii="仿宋_GB2312" w:eastAsia="仿宋_GB2312"/>
          <w:color w:val="auto"/>
          <w:sz w:val="32"/>
          <w:szCs w:val="32"/>
        </w:rPr>
        <w:t>内蒙古自治区节水行动实施方案</w:t>
      </w:r>
      <w:r>
        <w:rPr>
          <w:rFonts w:hint="eastAsia" w:eastAsia="仿宋_GB2312"/>
          <w:color w:val="auto"/>
          <w:sz w:val="30"/>
          <w:szCs w:val="30"/>
        </w:rPr>
        <w:t>》，建立了自治区节水行动厅际联席会议制度，集合全社会力量，各行业节水载体建成率有了显著增长，全社会节水意识持续提高，完成了一批县域节水型社会建设，初步形成了政府推动、市场调控、公众参与的节水型社会运行机制，“十三五”规划确定的主要节水目标任务基本完成。</w:t>
      </w:r>
    </w:p>
    <w:p>
      <w:pPr>
        <w:adjustRightInd w:val="0"/>
        <w:spacing w:line="620" w:lineRule="exact"/>
        <w:contextualSpacing/>
        <w:jc w:val="center"/>
        <w:rPr>
          <w:rFonts w:hint="eastAsia" w:ascii="黑体" w:hAnsi="黑体" w:eastAsia="黑体"/>
          <w:color w:val="auto"/>
          <w:sz w:val="28"/>
          <w:szCs w:val="28"/>
        </w:rPr>
      </w:pPr>
      <w:r>
        <w:rPr>
          <w:rFonts w:hint="eastAsia" w:ascii="黑体" w:hAnsi="黑体" w:eastAsia="黑体"/>
          <w:color w:val="auto"/>
          <w:sz w:val="28"/>
          <w:szCs w:val="28"/>
        </w:rPr>
        <w:t>内蒙古自治区“十三五”节水型社会建设主要指标完成情况</w:t>
      </w:r>
    </w:p>
    <w:p>
      <w:pPr>
        <w:pStyle w:val="8"/>
      </w:pPr>
    </w:p>
    <w:tbl>
      <w:tblPr>
        <w:tblStyle w:val="27"/>
        <w:tblW w:w="5097" w:type="pct"/>
        <w:tblInd w:w="-167" w:type="dxa"/>
        <w:tblLayout w:type="autofit"/>
        <w:tblCellMar>
          <w:top w:w="0" w:type="dxa"/>
          <w:left w:w="0" w:type="dxa"/>
          <w:bottom w:w="0" w:type="dxa"/>
          <w:right w:w="0" w:type="dxa"/>
        </w:tblCellMar>
      </w:tblPr>
      <w:tblGrid>
        <w:gridCol w:w="3905"/>
        <w:gridCol w:w="1273"/>
        <w:gridCol w:w="1679"/>
        <w:gridCol w:w="1637"/>
      </w:tblGrid>
      <w:tr>
        <w:tblPrEx>
          <w:tblCellMar>
            <w:top w:w="0" w:type="dxa"/>
            <w:left w:w="0" w:type="dxa"/>
            <w:bottom w:w="0" w:type="dxa"/>
            <w:right w:w="0" w:type="dxa"/>
          </w:tblCellMar>
        </w:tblPrEx>
        <w:trPr>
          <w:trHeight w:val="510" w:hRule="atLeast"/>
        </w:trPr>
        <w:tc>
          <w:tcPr>
            <w:tcW w:w="22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rPr>
            </w:pPr>
            <w:r>
              <w:rPr>
                <w:rFonts w:hint="eastAsia" w:ascii="仿宋" w:hAnsi="仿宋" w:eastAsia="仿宋"/>
                <w:color w:val="auto"/>
                <w:sz w:val="24"/>
                <w:lang w:val="en-US" w:eastAsia="zh-CN"/>
              </w:rPr>
              <w:t xml:space="preserve"> </w:t>
            </w:r>
            <w:r>
              <w:rPr>
                <w:rFonts w:hint="eastAsia" w:ascii="仿宋" w:hAnsi="仿宋" w:eastAsia="仿宋" w:cs="仿宋"/>
                <w:color w:val="auto"/>
                <w:kern w:val="0"/>
                <w:sz w:val="24"/>
                <w:lang w:bidi="ar"/>
              </w:rPr>
              <w:t>指标</w:t>
            </w:r>
          </w:p>
        </w:tc>
        <w:tc>
          <w:tcPr>
            <w:tcW w:w="7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2015</w:t>
            </w:r>
            <w:r>
              <w:rPr>
                <w:rStyle w:val="77"/>
                <w:rFonts w:hint="eastAsia" w:ascii="仿宋" w:hAnsi="仿宋" w:eastAsia="仿宋" w:cs="仿宋"/>
                <w:color w:val="auto"/>
                <w:lang w:bidi="ar"/>
              </w:rPr>
              <w:t>年</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“十三五”</w:t>
            </w:r>
          </w:p>
          <w:p>
            <w:pPr>
              <w:widowControl/>
              <w:spacing w:line="62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规划指标</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完成情况</w:t>
            </w:r>
          </w:p>
          <w:p>
            <w:pPr>
              <w:widowControl/>
              <w:spacing w:line="62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（2020年）</w:t>
            </w:r>
          </w:p>
        </w:tc>
      </w:tr>
      <w:tr>
        <w:tblPrEx>
          <w:tblCellMar>
            <w:top w:w="0" w:type="dxa"/>
            <w:left w:w="0" w:type="dxa"/>
            <w:bottom w:w="0" w:type="dxa"/>
            <w:right w:w="0" w:type="dxa"/>
          </w:tblCellMar>
        </w:tblPrEx>
        <w:trPr>
          <w:trHeight w:val="510" w:hRule="atLeast"/>
        </w:trPr>
        <w:tc>
          <w:tcPr>
            <w:tcW w:w="22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万元</w:t>
            </w:r>
            <w:r>
              <w:rPr>
                <w:rFonts w:ascii="仿宋" w:hAnsi="仿宋" w:eastAsia="仿宋" w:cs="仿宋"/>
                <w:color w:val="auto"/>
                <w:kern w:val="0"/>
                <w:sz w:val="24"/>
                <w:szCs w:val="24"/>
                <w:lang w:bidi="ar"/>
              </w:rPr>
              <w:t>国内生产总值用水量</w:t>
            </w:r>
            <w:r>
              <w:rPr>
                <w:rFonts w:hint="eastAsia" w:ascii="仿宋" w:hAnsi="仿宋" w:eastAsia="仿宋" w:cs="仿宋"/>
                <w:color w:val="auto"/>
                <w:kern w:val="0"/>
                <w:sz w:val="24"/>
                <w:lang w:bidi="ar"/>
              </w:rPr>
              <w:t>下降率（</w:t>
            </w:r>
            <w:r>
              <w:rPr>
                <w:rStyle w:val="73"/>
                <w:rFonts w:hint="default"/>
                <w:color w:val="auto"/>
                <w:lang w:bidi="ar"/>
              </w:rPr>
              <w:t>%</w:t>
            </w:r>
            <w:r>
              <w:rPr>
                <w:rStyle w:val="77"/>
                <w:rFonts w:hint="eastAsia" w:ascii="仿宋" w:hAnsi="仿宋" w:eastAsia="仿宋" w:cs="仿宋"/>
                <w:color w:val="auto"/>
                <w:lang w:bidi="ar"/>
              </w:rPr>
              <w:t>）</w:t>
            </w:r>
          </w:p>
        </w:tc>
        <w:tc>
          <w:tcPr>
            <w:tcW w:w="7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25</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25.4</w:t>
            </w:r>
          </w:p>
        </w:tc>
      </w:tr>
      <w:tr>
        <w:tblPrEx>
          <w:tblCellMar>
            <w:top w:w="0" w:type="dxa"/>
            <w:left w:w="0" w:type="dxa"/>
            <w:bottom w:w="0" w:type="dxa"/>
            <w:right w:w="0" w:type="dxa"/>
          </w:tblCellMar>
        </w:tblPrEx>
        <w:trPr>
          <w:trHeight w:val="510" w:hRule="atLeast"/>
        </w:trPr>
        <w:tc>
          <w:tcPr>
            <w:tcW w:w="22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万元工业增加值用水量下降率（</w:t>
            </w:r>
            <w:r>
              <w:rPr>
                <w:rStyle w:val="73"/>
                <w:rFonts w:hint="default"/>
                <w:color w:val="auto"/>
                <w:lang w:bidi="ar"/>
              </w:rPr>
              <w:t>%</w:t>
            </w:r>
            <w:r>
              <w:rPr>
                <w:rStyle w:val="77"/>
                <w:rFonts w:hint="eastAsia" w:ascii="仿宋" w:hAnsi="仿宋" w:eastAsia="仿宋" w:cs="仿宋"/>
                <w:color w:val="auto"/>
                <w:lang w:bidi="ar"/>
              </w:rPr>
              <w:t>）</w:t>
            </w:r>
          </w:p>
        </w:tc>
        <w:tc>
          <w:tcPr>
            <w:tcW w:w="7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20</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43.6</w:t>
            </w:r>
          </w:p>
        </w:tc>
      </w:tr>
      <w:tr>
        <w:tblPrEx>
          <w:tblCellMar>
            <w:top w:w="0" w:type="dxa"/>
            <w:left w:w="0" w:type="dxa"/>
            <w:bottom w:w="0" w:type="dxa"/>
            <w:right w:w="0" w:type="dxa"/>
          </w:tblCellMar>
        </w:tblPrEx>
        <w:trPr>
          <w:trHeight w:val="510" w:hRule="atLeast"/>
        </w:trPr>
        <w:tc>
          <w:tcPr>
            <w:tcW w:w="22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农田灌溉水有效利用系数</w:t>
            </w:r>
          </w:p>
        </w:tc>
        <w:tc>
          <w:tcPr>
            <w:tcW w:w="7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0.536</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0.55以上</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0.564</w:t>
            </w:r>
          </w:p>
        </w:tc>
      </w:tr>
      <w:tr>
        <w:tblPrEx>
          <w:tblCellMar>
            <w:top w:w="0" w:type="dxa"/>
            <w:left w:w="0" w:type="dxa"/>
            <w:bottom w:w="0" w:type="dxa"/>
            <w:right w:w="0" w:type="dxa"/>
          </w:tblCellMar>
        </w:tblPrEx>
        <w:trPr>
          <w:trHeight w:val="510" w:hRule="atLeast"/>
        </w:trPr>
        <w:tc>
          <w:tcPr>
            <w:tcW w:w="22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城市公共供水管网漏损率（</w:t>
            </w:r>
            <w:r>
              <w:rPr>
                <w:rStyle w:val="73"/>
                <w:rFonts w:hint="default"/>
                <w:color w:val="auto"/>
                <w:lang w:bidi="ar"/>
              </w:rPr>
              <w:t>%</w:t>
            </w:r>
            <w:r>
              <w:rPr>
                <w:rStyle w:val="77"/>
                <w:rFonts w:hint="eastAsia" w:ascii="仿宋" w:hAnsi="仿宋" w:eastAsia="仿宋" w:cs="仿宋"/>
                <w:color w:val="auto"/>
                <w:lang w:bidi="ar"/>
              </w:rPr>
              <w:t>）</w:t>
            </w:r>
          </w:p>
        </w:tc>
        <w:tc>
          <w:tcPr>
            <w:tcW w:w="74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15.2</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11.72</w:t>
            </w:r>
            <w:r>
              <w:rPr>
                <w:rFonts w:hint="eastAsia" w:ascii="仿宋" w:hAnsi="仿宋" w:eastAsia="仿宋" w:cs="仿宋"/>
                <w:color w:val="auto"/>
                <w:kern w:val="0"/>
                <w:sz w:val="24"/>
                <w:lang w:eastAsia="zh-CN" w:bidi="ar"/>
              </w:rPr>
              <w:t>（</w:t>
            </w:r>
            <w:r>
              <w:rPr>
                <w:rFonts w:hint="eastAsia" w:ascii="仿宋" w:hAnsi="仿宋" w:eastAsia="仿宋" w:cs="仿宋"/>
                <w:color w:val="auto"/>
                <w:kern w:val="0"/>
                <w:sz w:val="24"/>
                <w:lang w:val="en-US" w:eastAsia="zh-CN" w:bidi="ar"/>
              </w:rPr>
              <w:t>2019年</w:t>
            </w:r>
            <w:r>
              <w:rPr>
                <w:rFonts w:hint="eastAsia" w:ascii="仿宋" w:hAnsi="仿宋" w:eastAsia="仿宋" w:cs="仿宋"/>
                <w:color w:val="auto"/>
                <w:kern w:val="0"/>
                <w:sz w:val="24"/>
                <w:lang w:eastAsia="zh-CN" w:bidi="ar"/>
              </w:rPr>
              <w:t>）</w:t>
            </w:r>
          </w:p>
        </w:tc>
      </w:tr>
    </w:tbl>
    <w:p>
      <w:pPr>
        <w:pStyle w:val="8"/>
        <w:spacing w:line="620" w:lineRule="exact"/>
        <w:ind w:firstLine="602"/>
        <w:rPr>
          <w:rFonts w:eastAsia="仿宋_GB2312"/>
          <w:b/>
          <w:bCs/>
          <w:color w:val="auto"/>
          <w:sz w:val="30"/>
          <w:szCs w:val="30"/>
        </w:rPr>
      </w:pPr>
    </w:p>
    <w:p>
      <w:pPr>
        <w:pStyle w:val="8"/>
        <w:spacing w:line="360" w:lineRule="auto"/>
        <w:ind w:firstLine="602"/>
        <w:rPr>
          <w:rFonts w:eastAsia="仿宋_GB2312"/>
          <w:color w:val="auto"/>
          <w:sz w:val="30"/>
          <w:szCs w:val="30"/>
          <w:highlight w:val="yellow"/>
        </w:rPr>
      </w:pPr>
      <w:r>
        <w:rPr>
          <w:rFonts w:hint="eastAsia" w:eastAsia="仿宋_GB2312"/>
          <w:b/>
          <w:bCs/>
          <w:color w:val="auto"/>
          <w:sz w:val="30"/>
          <w:szCs w:val="30"/>
        </w:rPr>
        <w:t>一是用水效率明显提高</w:t>
      </w:r>
      <w:r>
        <w:rPr>
          <w:rFonts w:hint="eastAsia" w:eastAsia="仿宋_GB2312"/>
          <w:color w:val="auto"/>
          <w:sz w:val="30"/>
          <w:szCs w:val="30"/>
        </w:rPr>
        <w:t>。“十三五”期间，各项节水措施初见成效，用水效率明显提高，全区万元国内生产总值用水量下降了25.4%，万元工业增加值用水量下降了43.6%，农田灌溉水有效利用系数提高到0.564，城市公共供水管网漏损率提高到</w:t>
      </w:r>
      <w:r>
        <w:rPr>
          <w:rFonts w:hint="eastAsia" w:eastAsia="仿宋_GB2312"/>
          <w:color w:val="auto"/>
          <w:sz w:val="30"/>
          <w:szCs w:val="30"/>
          <w:lang w:val="en-US" w:eastAsia="zh-CN"/>
        </w:rPr>
        <w:t>11.72</w:t>
      </w:r>
      <w:r>
        <w:rPr>
          <w:rFonts w:hint="eastAsia" w:eastAsia="仿宋_GB2312"/>
          <w:color w:val="auto"/>
          <w:sz w:val="30"/>
          <w:szCs w:val="30"/>
        </w:rPr>
        <w:t>%。</w:t>
      </w:r>
    </w:p>
    <w:p>
      <w:pPr>
        <w:pStyle w:val="8"/>
        <w:spacing w:line="360" w:lineRule="auto"/>
        <w:ind w:firstLine="602"/>
        <w:rPr>
          <w:rFonts w:eastAsia="仿宋_GB2312"/>
          <w:color w:val="auto"/>
          <w:sz w:val="30"/>
          <w:szCs w:val="30"/>
        </w:rPr>
      </w:pPr>
      <w:r>
        <w:rPr>
          <w:rFonts w:hint="eastAsia" w:eastAsia="仿宋_GB2312"/>
          <w:b/>
          <w:bCs/>
          <w:color w:val="auto"/>
          <w:sz w:val="30"/>
          <w:szCs w:val="30"/>
        </w:rPr>
        <w:t>二是节水政策进一步完善</w:t>
      </w:r>
      <w:r>
        <w:rPr>
          <w:rFonts w:hint="eastAsia" w:eastAsia="仿宋_GB2312"/>
          <w:color w:val="auto"/>
          <w:sz w:val="30"/>
          <w:szCs w:val="30"/>
        </w:rPr>
        <w:t>。“十三五”时期，自治区相继制定或修订了《农业灌溉用水精准补贴与节水奖励办法》《计划用水管理办法》《水资源税改革试点实施办法》《水权交易管理办法》《城市供水实施办法》《取水许可和水资源费征收管理实施办法》《关于非常规水源纳入水资源统一配置的贯彻落实意见》《地下水管理办法》等规章办法，印发了《内蒙古自治区“十三五”水资源消耗总量和强度双控实施方案》《关于加强地下水生态保护和治理指导意见》《重要水源和地下水超采区水量与水位双控制方案》《地下水生态保护治理规划和实施纲要》等政策文件，完成了《内蒙古自治区行业用水定额》的修订工作。</w:t>
      </w:r>
    </w:p>
    <w:p>
      <w:pPr>
        <w:pStyle w:val="8"/>
        <w:spacing w:line="360" w:lineRule="auto"/>
        <w:ind w:firstLine="602"/>
        <w:rPr>
          <w:rFonts w:eastAsia="仿宋_GB2312"/>
          <w:color w:val="auto"/>
          <w:sz w:val="30"/>
          <w:szCs w:val="30"/>
        </w:rPr>
      </w:pPr>
      <w:r>
        <w:rPr>
          <w:rFonts w:hint="eastAsia" w:eastAsia="仿宋_GB2312"/>
          <w:b/>
          <w:bCs/>
          <w:color w:val="auto"/>
          <w:sz w:val="30"/>
          <w:szCs w:val="30"/>
          <w:lang w:eastAsia="zh-CN"/>
        </w:rPr>
        <w:t>三</w:t>
      </w:r>
      <w:r>
        <w:rPr>
          <w:rFonts w:hint="eastAsia" w:eastAsia="仿宋_GB2312"/>
          <w:b/>
          <w:bCs/>
          <w:color w:val="auto"/>
          <w:sz w:val="30"/>
          <w:szCs w:val="30"/>
        </w:rPr>
        <w:t>是节水设施能力进一步强化</w:t>
      </w:r>
      <w:r>
        <w:rPr>
          <w:rFonts w:hint="eastAsia" w:eastAsia="仿宋_GB2312"/>
          <w:color w:val="auto"/>
          <w:sz w:val="30"/>
          <w:szCs w:val="30"/>
        </w:rPr>
        <w:t>。“十三五”时期，对河套灌区等11个大型灌区和16个中型灌区继续加强节水改造工程建设。</w:t>
      </w:r>
      <w:r>
        <w:rPr>
          <w:rFonts w:hint="eastAsia" w:eastAsia="仿宋_GB2312"/>
          <w:color w:val="auto"/>
          <w:sz w:val="30"/>
          <w:szCs w:val="30"/>
          <w:lang w:val="zh-TW"/>
        </w:rPr>
        <w:t>完成</w:t>
      </w:r>
      <w:r>
        <w:rPr>
          <w:rFonts w:hint="eastAsia" w:eastAsia="仿宋_GB2312"/>
          <w:color w:val="auto"/>
          <w:sz w:val="30"/>
          <w:szCs w:val="30"/>
        </w:rPr>
        <w:t>跨盟市水权转让一期工程建设，实现通过农业节水向工业</w:t>
      </w:r>
      <w:r>
        <w:rPr>
          <w:rFonts w:eastAsia="仿宋_GB2312"/>
          <w:color w:val="auto"/>
          <w:sz w:val="30"/>
          <w:szCs w:val="30"/>
        </w:rPr>
        <w:t>转让水指标1.2亿立方米。</w:t>
      </w:r>
      <w:r>
        <w:rPr>
          <w:rFonts w:hint="eastAsia" w:eastAsia="仿宋_GB2312"/>
          <w:color w:val="auto"/>
          <w:sz w:val="30"/>
          <w:szCs w:val="30"/>
        </w:rPr>
        <w:t>在缺水地区加强非常规水源利用，不断加大中水、疏干水等非常规水资源的配置力度。</w:t>
      </w:r>
    </w:p>
    <w:p>
      <w:pPr>
        <w:pStyle w:val="8"/>
        <w:spacing w:line="360" w:lineRule="auto"/>
        <w:ind w:firstLine="602"/>
        <w:rPr>
          <w:rFonts w:eastAsia="仿宋_GB2312"/>
          <w:color w:val="auto"/>
          <w:sz w:val="30"/>
          <w:szCs w:val="30"/>
        </w:rPr>
      </w:pPr>
      <w:r>
        <w:rPr>
          <w:rFonts w:hint="eastAsia" w:eastAsia="仿宋_GB2312"/>
          <w:b/>
          <w:bCs/>
          <w:color w:val="auto"/>
          <w:sz w:val="30"/>
          <w:szCs w:val="30"/>
          <w:lang w:eastAsia="zh-CN"/>
        </w:rPr>
        <w:t>四</w:t>
      </w:r>
      <w:r>
        <w:rPr>
          <w:rFonts w:hint="eastAsia" w:eastAsia="仿宋_GB2312"/>
          <w:b/>
          <w:bCs/>
          <w:color w:val="auto"/>
          <w:sz w:val="30"/>
          <w:szCs w:val="30"/>
        </w:rPr>
        <w:t>是节水示范取得显著成效</w:t>
      </w:r>
      <w:r>
        <w:rPr>
          <w:rFonts w:hint="eastAsia" w:eastAsia="仿宋_GB2312"/>
          <w:color w:val="auto"/>
          <w:sz w:val="30"/>
          <w:szCs w:val="30"/>
        </w:rPr>
        <w:t>。呼和浩特市、包头市、鄂尔多斯市和二连浩特市成功创建为国家节水型社会建设试点城市。46个旗县（市、区）达到了节水型社会达标建设标准，建成率45%。35家高耗水企业全部建成节水型企业，建成率达到100%。1家工业企业被授予“水效领跑者”称号。</w:t>
      </w:r>
    </w:p>
    <w:p>
      <w:pPr>
        <w:pStyle w:val="4"/>
        <w:keepNext w:val="0"/>
        <w:keepLines w:val="0"/>
        <w:spacing w:before="217" w:beforeLines="50" w:after="217" w:afterLines="50" w:line="360" w:lineRule="auto"/>
        <w:ind w:firstLine="642" w:firstLineChars="200"/>
        <w:contextualSpacing/>
        <w:rPr>
          <w:rFonts w:ascii="仿宋" w:hAnsi="仿宋" w:cs="仿宋"/>
          <w:color w:val="auto"/>
          <w:sz w:val="32"/>
        </w:rPr>
      </w:pPr>
      <w:bookmarkStart w:id="14" w:name="_Toc24264"/>
      <w:r>
        <w:rPr>
          <w:rFonts w:hint="eastAsia" w:ascii="仿宋" w:hAnsi="仿宋" w:cs="仿宋"/>
          <w:color w:val="auto"/>
          <w:sz w:val="32"/>
        </w:rPr>
        <w:t>（二）存在的问题</w:t>
      </w:r>
      <w:bookmarkEnd w:id="14"/>
    </w:p>
    <w:p>
      <w:pPr>
        <w:pStyle w:val="8"/>
        <w:pageBreakBefore w:val="0"/>
        <w:kinsoku/>
        <w:wordWrap/>
        <w:overflowPunct/>
        <w:topLinePunct w:val="0"/>
        <w:autoSpaceDE/>
        <w:autoSpaceDN/>
        <w:bidi w:val="0"/>
        <w:spacing w:line="620" w:lineRule="exact"/>
        <w:ind w:firstLine="600"/>
        <w:contextualSpacing/>
        <w:rPr>
          <w:rFonts w:eastAsia="仿宋"/>
          <w:b w:val="0"/>
          <w:bCs w:val="0"/>
          <w:sz w:val="30"/>
          <w:szCs w:val="30"/>
          <w:highlight w:val="none"/>
        </w:rPr>
      </w:pPr>
      <w:bookmarkStart w:id="15" w:name="_Toc11700"/>
      <w:r>
        <w:rPr>
          <w:rFonts w:eastAsia="仿宋_GB2312"/>
          <w:b w:val="0"/>
          <w:bCs w:val="0"/>
          <w:sz w:val="30"/>
          <w:szCs w:val="30"/>
          <w:highlight w:val="none"/>
        </w:rPr>
        <w:t>在取得</w:t>
      </w:r>
      <w:r>
        <w:rPr>
          <w:rFonts w:hint="eastAsia" w:eastAsia="仿宋_GB2312"/>
          <w:b w:val="0"/>
          <w:bCs w:val="0"/>
          <w:sz w:val="30"/>
          <w:szCs w:val="30"/>
          <w:highlight w:val="none"/>
          <w:lang w:eastAsia="zh-CN"/>
        </w:rPr>
        <w:t>成绩</w:t>
      </w:r>
      <w:r>
        <w:rPr>
          <w:rFonts w:eastAsia="仿宋_GB2312"/>
          <w:b w:val="0"/>
          <w:bCs w:val="0"/>
          <w:sz w:val="30"/>
          <w:szCs w:val="30"/>
          <w:highlight w:val="none"/>
        </w:rPr>
        <w:t>的同时也要清醒地</w:t>
      </w:r>
      <w:r>
        <w:rPr>
          <w:rFonts w:hint="eastAsia" w:eastAsia="仿宋_GB2312"/>
          <w:b w:val="0"/>
          <w:bCs w:val="0"/>
          <w:sz w:val="30"/>
          <w:szCs w:val="30"/>
          <w:highlight w:val="none"/>
        </w:rPr>
        <w:t>意识到，</w:t>
      </w:r>
      <w:r>
        <w:rPr>
          <w:rFonts w:eastAsia="仿宋_GB2312"/>
          <w:b w:val="0"/>
          <w:bCs w:val="0"/>
          <w:sz w:val="30"/>
          <w:szCs w:val="30"/>
          <w:highlight w:val="none"/>
        </w:rPr>
        <w:t>我</w:t>
      </w:r>
      <w:r>
        <w:rPr>
          <w:rFonts w:hint="eastAsia" w:eastAsia="仿宋_GB2312"/>
          <w:b w:val="0"/>
          <w:bCs w:val="0"/>
          <w:sz w:val="30"/>
          <w:szCs w:val="30"/>
          <w:highlight w:val="none"/>
        </w:rPr>
        <w:t>区</w:t>
      </w:r>
      <w:r>
        <w:rPr>
          <w:rFonts w:eastAsia="仿宋_GB2312"/>
          <w:b w:val="0"/>
          <w:bCs w:val="0"/>
          <w:sz w:val="30"/>
          <w:szCs w:val="30"/>
          <w:highlight w:val="none"/>
        </w:rPr>
        <w:t>节水工作仍存在</w:t>
      </w:r>
      <w:r>
        <w:rPr>
          <w:rFonts w:hint="eastAsia" w:eastAsia="仿宋_GB2312"/>
          <w:b w:val="0"/>
          <w:bCs w:val="0"/>
          <w:sz w:val="30"/>
          <w:szCs w:val="30"/>
          <w:highlight w:val="none"/>
        </w:rPr>
        <w:t>不少</w:t>
      </w:r>
      <w:r>
        <w:rPr>
          <w:rFonts w:eastAsia="仿宋_GB2312"/>
          <w:b w:val="0"/>
          <w:bCs w:val="0"/>
          <w:sz w:val="30"/>
          <w:szCs w:val="30"/>
          <w:highlight w:val="none"/>
        </w:rPr>
        <w:t>问题</w:t>
      </w:r>
      <w:r>
        <w:rPr>
          <w:rFonts w:hint="eastAsia" w:eastAsia="仿宋_GB2312"/>
          <w:b w:val="0"/>
          <w:bCs w:val="0"/>
          <w:sz w:val="30"/>
          <w:szCs w:val="30"/>
          <w:highlight w:val="none"/>
          <w:lang w:eastAsia="zh-CN"/>
        </w:rPr>
        <w:t>，全区水资源短缺形势依然严峻，集约节约利用水平与绿色发展和生态文明建设的需要还有一定差距</w:t>
      </w:r>
      <w:r>
        <w:rPr>
          <w:rFonts w:eastAsia="仿宋_GB2312"/>
          <w:b w:val="0"/>
          <w:bCs w:val="0"/>
          <w:sz w:val="30"/>
          <w:szCs w:val="30"/>
          <w:highlight w:val="none"/>
        </w:rPr>
        <w:t>。</w:t>
      </w:r>
    </w:p>
    <w:p>
      <w:pPr>
        <w:pStyle w:val="8"/>
        <w:pageBreakBefore w:val="0"/>
        <w:kinsoku/>
        <w:wordWrap/>
        <w:overflowPunct/>
        <w:topLinePunct w:val="0"/>
        <w:autoSpaceDE/>
        <w:autoSpaceDN/>
        <w:bidi w:val="0"/>
        <w:spacing w:line="620" w:lineRule="exact"/>
        <w:ind w:firstLine="602"/>
        <w:contextualSpacing/>
        <w:rPr>
          <w:rFonts w:hint="eastAsia" w:eastAsia="仿宋_GB2312"/>
          <w:b w:val="0"/>
          <w:bCs w:val="0"/>
          <w:sz w:val="30"/>
          <w:szCs w:val="30"/>
          <w:highlight w:val="none"/>
          <w:lang w:eastAsia="zh-CN"/>
        </w:rPr>
      </w:pPr>
      <w:r>
        <w:rPr>
          <w:rFonts w:hint="eastAsia" w:eastAsia="仿宋_GB2312"/>
          <w:b/>
          <w:bCs/>
          <w:sz w:val="30"/>
          <w:szCs w:val="30"/>
          <w:highlight w:val="none"/>
        </w:rPr>
        <w:t>一是</w:t>
      </w:r>
      <w:r>
        <w:rPr>
          <w:rFonts w:hint="eastAsia" w:eastAsia="仿宋_GB2312"/>
          <w:b/>
          <w:bCs/>
          <w:sz w:val="30"/>
          <w:szCs w:val="30"/>
          <w:highlight w:val="none"/>
          <w:lang w:eastAsia="zh-CN"/>
        </w:rPr>
        <w:t>节水理念未深入人心。</w:t>
      </w:r>
      <w:r>
        <w:rPr>
          <w:rFonts w:eastAsia="仿宋_GB2312"/>
          <w:b w:val="0"/>
          <w:bCs w:val="0"/>
          <w:sz w:val="30"/>
          <w:szCs w:val="30"/>
          <w:highlight w:val="none"/>
        </w:rPr>
        <w:t>部分地区对节水认识还不够深刻，缺水地区重调水、轻节水的观念还未完全改变，丰水地区节水意识普遍淡薄</w:t>
      </w:r>
      <w:r>
        <w:rPr>
          <w:rFonts w:hint="eastAsia" w:eastAsia="仿宋_GB2312"/>
          <w:b w:val="0"/>
          <w:bCs w:val="0"/>
          <w:sz w:val="30"/>
          <w:szCs w:val="30"/>
          <w:highlight w:val="none"/>
        </w:rPr>
        <w:t>。</w:t>
      </w:r>
      <w:r>
        <w:rPr>
          <w:rFonts w:eastAsia="仿宋_GB2312"/>
          <w:b w:val="0"/>
          <w:bCs w:val="0"/>
          <w:sz w:val="30"/>
          <w:szCs w:val="30"/>
          <w:highlight w:val="none"/>
        </w:rPr>
        <w:t>水资源过度开发、地下水严重超采、挤占生态用水等问题和现象仍然存在</w:t>
      </w:r>
      <w:r>
        <w:rPr>
          <w:rFonts w:hint="eastAsia" w:eastAsia="仿宋_GB2312"/>
          <w:b w:val="0"/>
          <w:bCs w:val="0"/>
          <w:sz w:val="30"/>
          <w:szCs w:val="30"/>
          <w:highlight w:val="none"/>
        </w:rPr>
        <w:t>。</w:t>
      </w:r>
      <w:r>
        <w:rPr>
          <w:rFonts w:eastAsia="仿宋_GB2312"/>
          <w:b w:val="0"/>
          <w:bCs w:val="0"/>
          <w:sz w:val="30"/>
          <w:szCs w:val="30"/>
          <w:highlight w:val="none"/>
        </w:rPr>
        <w:t>节水优先理念</w:t>
      </w:r>
      <w:r>
        <w:rPr>
          <w:rFonts w:hint="eastAsia" w:eastAsia="仿宋_GB2312"/>
          <w:b w:val="0"/>
          <w:bCs w:val="0"/>
          <w:sz w:val="30"/>
          <w:szCs w:val="30"/>
          <w:highlight w:val="none"/>
          <w:lang w:eastAsia="zh-CN"/>
        </w:rPr>
        <w:t>，</w:t>
      </w:r>
      <w:r>
        <w:rPr>
          <w:rFonts w:eastAsia="仿宋_GB2312"/>
          <w:b w:val="0"/>
          <w:bCs w:val="0"/>
          <w:sz w:val="30"/>
          <w:szCs w:val="30"/>
          <w:highlight w:val="none"/>
        </w:rPr>
        <w:t>水忧患意识尚未在全社会普遍建立。</w:t>
      </w:r>
    </w:p>
    <w:p>
      <w:pPr>
        <w:pStyle w:val="8"/>
        <w:pageBreakBefore w:val="0"/>
        <w:kinsoku/>
        <w:wordWrap/>
        <w:overflowPunct/>
        <w:topLinePunct w:val="0"/>
        <w:autoSpaceDE/>
        <w:autoSpaceDN/>
        <w:bidi w:val="0"/>
        <w:spacing w:line="620" w:lineRule="exact"/>
        <w:ind w:firstLine="602"/>
        <w:contextualSpacing/>
        <w:rPr>
          <w:rFonts w:eastAsia="仿宋_GB2312"/>
          <w:b w:val="0"/>
          <w:bCs w:val="0"/>
          <w:sz w:val="30"/>
          <w:szCs w:val="30"/>
          <w:highlight w:val="none"/>
        </w:rPr>
      </w:pPr>
      <w:r>
        <w:rPr>
          <w:rFonts w:hint="eastAsia" w:eastAsia="仿宋_GB2312"/>
          <w:b/>
          <w:bCs/>
          <w:sz w:val="30"/>
          <w:szCs w:val="30"/>
          <w:highlight w:val="none"/>
          <w:lang w:eastAsia="zh-CN"/>
        </w:rPr>
        <w:t>二是</w:t>
      </w:r>
      <w:r>
        <w:rPr>
          <w:rFonts w:hint="eastAsia" w:eastAsia="仿宋_GB2312"/>
          <w:b/>
          <w:bCs/>
          <w:sz w:val="30"/>
          <w:szCs w:val="30"/>
          <w:highlight w:val="none"/>
        </w:rPr>
        <w:t>节水约束力不强。</w:t>
      </w:r>
      <w:r>
        <w:rPr>
          <w:rFonts w:hint="eastAsia" w:eastAsia="仿宋_GB2312"/>
          <w:b w:val="0"/>
          <w:bCs w:val="0"/>
          <w:sz w:val="30"/>
          <w:szCs w:val="30"/>
          <w:highlight w:val="none"/>
        </w:rPr>
        <w:t>节水的</w:t>
      </w:r>
      <w:r>
        <w:rPr>
          <w:rFonts w:eastAsia="仿宋_GB2312"/>
          <w:b w:val="0"/>
          <w:bCs w:val="0"/>
          <w:sz w:val="30"/>
          <w:szCs w:val="30"/>
          <w:highlight w:val="none"/>
        </w:rPr>
        <w:t>刚性约束及执行力</w:t>
      </w:r>
      <w:r>
        <w:rPr>
          <w:rFonts w:hint="eastAsia" w:eastAsia="仿宋_GB2312"/>
          <w:b w:val="0"/>
          <w:bCs w:val="0"/>
          <w:sz w:val="30"/>
          <w:szCs w:val="30"/>
          <w:highlight w:val="none"/>
        </w:rPr>
        <w:t>仍然</w:t>
      </w:r>
      <w:r>
        <w:rPr>
          <w:rFonts w:eastAsia="仿宋_GB2312"/>
          <w:b w:val="0"/>
          <w:bCs w:val="0"/>
          <w:sz w:val="30"/>
          <w:szCs w:val="30"/>
          <w:highlight w:val="none"/>
        </w:rPr>
        <w:t>不足</w:t>
      </w:r>
      <w:r>
        <w:rPr>
          <w:rFonts w:hint="eastAsia" w:eastAsia="仿宋_GB2312"/>
          <w:b w:val="0"/>
          <w:bCs w:val="0"/>
          <w:sz w:val="30"/>
          <w:szCs w:val="30"/>
          <w:highlight w:val="none"/>
        </w:rPr>
        <w:t>，</w:t>
      </w:r>
      <w:r>
        <w:rPr>
          <w:rFonts w:eastAsia="仿宋_GB2312"/>
          <w:b w:val="0"/>
          <w:bCs w:val="0"/>
          <w:sz w:val="30"/>
          <w:szCs w:val="30"/>
          <w:highlight w:val="none"/>
        </w:rPr>
        <w:t>节水绩效考核与</w:t>
      </w:r>
      <w:r>
        <w:rPr>
          <w:rFonts w:hint="eastAsia" w:eastAsia="仿宋_GB2312"/>
          <w:b w:val="0"/>
          <w:bCs w:val="0"/>
          <w:sz w:val="30"/>
          <w:szCs w:val="30"/>
          <w:highlight w:val="none"/>
          <w:lang w:eastAsia="zh-CN"/>
        </w:rPr>
        <w:t>考核成果应用还不完善</w:t>
      </w:r>
      <w:r>
        <w:rPr>
          <w:rFonts w:eastAsia="仿宋_GB2312"/>
          <w:b w:val="0"/>
          <w:bCs w:val="0"/>
          <w:sz w:val="30"/>
          <w:szCs w:val="30"/>
          <w:highlight w:val="none"/>
        </w:rPr>
        <w:t>，责任追究制度</w:t>
      </w:r>
      <w:r>
        <w:rPr>
          <w:rFonts w:hint="eastAsia" w:eastAsia="仿宋_GB2312"/>
          <w:b w:val="0"/>
          <w:bCs w:val="0"/>
          <w:sz w:val="30"/>
          <w:szCs w:val="30"/>
          <w:highlight w:val="none"/>
          <w:lang w:eastAsia="zh-CN"/>
        </w:rPr>
        <w:t>尚不健全，</w:t>
      </w:r>
      <w:r>
        <w:rPr>
          <w:rFonts w:eastAsia="仿宋_GB2312"/>
          <w:b w:val="0"/>
          <w:bCs w:val="0"/>
          <w:sz w:val="30"/>
          <w:szCs w:val="30"/>
          <w:highlight w:val="none"/>
        </w:rPr>
        <w:t>浪费水或不节水的用水行为</w:t>
      </w:r>
      <w:r>
        <w:rPr>
          <w:rFonts w:hint="eastAsia" w:eastAsia="仿宋_GB2312"/>
          <w:b w:val="0"/>
          <w:bCs w:val="0"/>
          <w:sz w:val="30"/>
          <w:szCs w:val="30"/>
          <w:highlight w:val="none"/>
          <w:lang w:eastAsia="zh-CN"/>
        </w:rPr>
        <w:t>没有得到有效</w:t>
      </w:r>
      <w:r>
        <w:rPr>
          <w:rFonts w:eastAsia="仿宋_GB2312"/>
          <w:b w:val="0"/>
          <w:bCs w:val="0"/>
          <w:sz w:val="30"/>
          <w:szCs w:val="30"/>
          <w:highlight w:val="none"/>
        </w:rPr>
        <w:t>惩戒。缺乏鼓励和支持节水的精准补贴政策</w:t>
      </w:r>
      <w:r>
        <w:rPr>
          <w:rFonts w:hint="eastAsia" w:eastAsia="仿宋_GB2312"/>
          <w:b w:val="0"/>
          <w:bCs w:val="0"/>
          <w:sz w:val="30"/>
          <w:szCs w:val="30"/>
          <w:highlight w:val="none"/>
        </w:rPr>
        <w:t>以及稳定的资金投入渠道</w:t>
      </w:r>
      <w:r>
        <w:rPr>
          <w:rFonts w:hint="eastAsia" w:eastAsia="仿宋_GB2312"/>
          <w:b w:val="0"/>
          <w:bCs w:val="0"/>
          <w:sz w:val="30"/>
          <w:szCs w:val="30"/>
          <w:highlight w:val="none"/>
          <w:lang w:eastAsia="zh-CN"/>
        </w:rPr>
        <w:t>，</w:t>
      </w:r>
      <w:r>
        <w:rPr>
          <w:rFonts w:eastAsia="仿宋_GB2312"/>
          <w:b w:val="0"/>
          <w:bCs w:val="0"/>
          <w:sz w:val="30"/>
          <w:szCs w:val="30"/>
          <w:highlight w:val="none"/>
        </w:rPr>
        <w:t>难以激发节水市场活力和用水主体节水内生动力。</w:t>
      </w:r>
    </w:p>
    <w:p>
      <w:pPr>
        <w:pStyle w:val="4"/>
        <w:keepNext w:val="0"/>
        <w:keepLines w:val="0"/>
        <w:spacing w:before="217" w:beforeLines="50" w:after="217" w:afterLines="50" w:line="360" w:lineRule="auto"/>
        <w:ind w:firstLine="602" w:firstLineChars="200"/>
        <w:contextualSpacing/>
        <w:rPr>
          <w:rFonts w:hint="eastAsia" w:eastAsia="仿宋_GB2312"/>
          <w:b w:val="0"/>
          <w:bCs w:val="0"/>
          <w:sz w:val="30"/>
          <w:szCs w:val="30"/>
          <w:highlight w:val="none"/>
          <w:lang w:eastAsia="zh-CN"/>
        </w:rPr>
      </w:pPr>
      <w:r>
        <w:rPr>
          <w:rFonts w:hint="eastAsia" w:eastAsia="仿宋_GB2312"/>
          <w:b/>
          <w:bCs/>
          <w:sz w:val="30"/>
          <w:szCs w:val="30"/>
          <w:highlight w:val="none"/>
          <w:lang w:eastAsia="zh-CN"/>
        </w:rPr>
        <w:t>三</w:t>
      </w:r>
      <w:r>
        <w:rPr>
          <w:rFonts w:hint="eastAsia" w:eastAsia="仿宋_GB2312"/>
          <w:b/>
          <w:bCs/>
          <w:sz w:val="30"/>
          <w:szCs w:val="30"/>
          <w:highlight w:val="none"/>
        </w:rPr>
        <w:t>是</w:t>
      </w:r>
      <w:r>
        <w:rPr>
          <w:rFonts w:hint="eastAsia" w:eastAsia="仿宋_GB2312"/>
          <w:b/>
          <w:bCs/>
          <w:sz w:val="30"/>
          <w:szCs w:val="30"/>
          <w:highlight w:val="none"/>
          <w:lang w:eastAsia="zh-CN"/>
        </w:rPr>
        <w:t>重点领域</w:t>
      </w:r>
      <w:r>
        <w:rPr>
          <w:rFonts w:eastAsia="仿宋_GB2312"/>
          <w:b/>
          <w:bCs/>
          <w:sz w:val="30"/>
          <w:szCs w:val="30"/>
          <w:highlight w:val="none"/>
        </w:rPr>
        <w:t>节水</w:t>
      </w:r>
      <w:r>
        <w:rPr>
          <w:rFonts w:hint="eastAsia" w:eastAsia="仿宋_GB2312"/>
          <w:b/>
          <w:bCs/>
          <w:sz w:val="30"/>
          <w:szCs w:val="30"/>
          <w:highlight w:val="none"/>
          <w:lang w:eastAsia="zh-CN"/>
        </w:rPr>
        <w:t>工作仍然存在差距</w:t>
      </w:r>
      <w:r>
        <w:rPr>
          <w:rFonts w:hint="eastAsia" w:eastAsia="仿宋_GB2312"/>
          <w:b/>
          <w:bCs/>
          <w:sz w:val="30"/>
          <w:szCs w:val="30"/>
          <w:highlight w:val="none"/>
        </w:rPr>
        <w:t>。</w:t>
      </w:r>
      <w:r>
        <w:rPr>
          <w:rFonts w:hint="eastAsia" w:eastAsia="仿宋_GB2312"/>
          <w:b/>
          <w:bCs/>
          <w:sz w:val="30"/>
          <w:szCs w:val="30"/>
          <w:highlight w:val="none"/>
          <w:lang w:eastAsia="zh-CN"/>
        </w:rPr>
        <w:t>农业用水方面。</w:t>
      </w:r>
      <w:r>
        <w:rPr>
          <w:rFonts w:eastAsia="仿宋_GB2312"/>
          <w:b w:val="0"/>
          <w:bCs w:val="0"/>
          <w:sz w:val="30"/>
          <w:szCs w:val="30"/>
          <w:highlight w:val="none"/>
        </w:rPr>
        <w:t>大中型灌区仍存在渠系建筑物老化、损毁严重、渠系防渗率较低等问题，</w:t>
      </w:r>
      <w:r>
        <w:rPr>
          <w:rFonts w:hint="eastAsia" w:eastAsia="仿宋_GB2312"/>
          <w:b w:val="0"/>
          <w:bCs w:val="0"/>
          <w:sz w:val="30"/>
          <w:szCs w:val="30"/>
          <w:highlight w:val="none"/>
        </w:rPr>
        <w:t>农业用地下水计量率偏低</w:t>
      </w:r>
      <w:r>
        <w:rPr>
          <w:rFonts w:hint="eastAsia" w:eastAsia="仿宋_GB2312"/>
          <w:b w:val="0"/>
          <w:bCs w:val="0"/>
          <w:sz w:val="30"/>
          <w:szCs w:val="30"/>
          <w:highlight w:val="none"/>
          <w:lang w:eastAsia="zh-CN"/>
        </w:rPr>
        <w:t>等现象仍然普遍存在</w:t>
      </w:r>
      <w:r>
        <w:rPr>
          <w:rFonts w:hint="eastAsia" w:eastAsia="仿宋_GB2312"/>
          <w:b w:val="0"/>
          <w:bCs w:val="0"/>
          <w:sz w:val="30"/>
          <w:szCs w:val="30"/>
          <w:highlight w:val="none"/>
        </w:rPr>
        <w:t>。</w:t>
      </w:r>
      <w:r>
        <w:rPr>
          <w:rFonts w:hint="eastAsia" w:eastAsia="仿宋_GB2312"/>
          <w:b/>
          <w:bCs/>
          <w:sz w:val="30"/>
          <w:szCs w:val="30"/>
          <w:highlight w:val="none"/>
          <w:lang w:eastAsia="zh-CN"/>
        </w:rPr>
        <w:t>工业用水方面。</w:t>
      </w:r>
      <w:r>
        <w:rPr>
          <w:rFonts w:hint="eastAsia" w:eastAsia="仿宋_GB2312"/>
          <w:b w:val="0"/>
          <w:bCs w:val="0"/>
          <w:sz w:val="30"/>
          <w:szCs w:val="30"/>
          <w:highlight w:val="none"/>
          <w:lang w:eastAsia="zh-CN"/>
        </w:rPr>
        <w:t>部分行业用水重复利用水平偏低，工业废水资源化利用潜力有待进一步挖掘。</w:t>
      </w:r>
      <w:r>
        <w:rPr>
          <w:rFonts w:hint="eastAsia" w:eastAsia="仿宋_GB2312"/>
          <w:b/>
          <w:bCs/>
          <w:sz w:val="30"/>
          <w:szCs w:val="30"/>
          <w:highlight w:val="none"/>
          <w:lang w:eastAsia="zh-CN"/>
        </w:rPr>
        <w:t>城镇用水方面。</w:t>
      </w:r>
      <w:r>
        <w:rPr>
          <w:rFonts w:hint="eastAsia" w:eastAsia="仿宋_GB2312"/>
          <w:b w:val="0"/>
          <w:bCs w:val="0"/>
          <w:sz w:val="30"/>
          <w:szCs w:val="30"/>
          <w:highlight w:val="none"/>
          <w:lang w:eastAsia="zh-CN"/>
        </w:rPr>
        <w:t>城镇供水管网漏损问题依然突出，高耗水服务业用水需要进一步严控，节水器具普及程度有待提高。</w:t>
      </w:r>
      <w:r>
        <w:rPr>
          <w:rFonts w:hint="eastAsia" w:eastAsia="仿宋_GB2312"/>
          <w:b/>
          <w:bCs/>
          <w:sz w:val="30"/>
          <w:szCs w:val="30"/>
          <w:highlight w:val="none"/>
          <w:lang w:eastAsia="zh-CN"/>
        </w:rPr>
        <w:t>非常规水源利用方面。</w:t>
      </w:r>
      <w:r>
        <w:rPr>
          <w:rFonts w:hint="eastAsia" w:eastAsia="仿宋_GB2312"/>
          <w:b w:val="0"/>
          <w:bCs w:val="0"/>
          <w:sz w:val="30"/>
          <w:szCs w:val="30"/>
          <w:highlight w:val="none"/>
        </w:rPr>
        <w:t>非常规水源利用的配套工程</w:t>
      </w:r>
      <w:r>
        <w:rPr>
          <w:rFonts w:eastAsia="仿宋_GB2312"/>
          <w:b w:val="0"/>
          <w:bCs w:val="0"/>
          <w:sz w:val="30"/>
          <w:szCs w:val="30"/>
          <w:highlight w:val="none"/>
        </w:rPr>
        <w:t>不</w:t>
      </w:r>
      <w:r>
        <w:rPr>
          <w:rFonts w:hint="eastAsia" w:eastAsia="仿宋_GB2312"/>
          <w:b w:val="0"/>
          <w:bCs w:val="0"/>
          <w:sz w:val="30"/>
          <w:szCs w:val="30"/>
          <w:highlight w:val="none"/>
          <w:lang w:eastAsia="zh-CN"/>
        </w:rPr>
        <w:t>完备，再生水、矿井水、苦咸水利用能力不足。</w:t>
      </w:r>
    </w:p>
    <w:p>
      <w:pPr>
        <w:pStyle w:val="4"/>
        <w:keepNext w:val="0"/>
        <w:keepLines w:val="0"/>
        <w:spacing w:before="217" w:beforeLines="50" w:after="217" w:afterLines="50" w:line="360" w:lineRule="auto"/>
        <w:ind w:firstLine="642" w:firstLineChars="200"/>
        <w:contextualSpacing/>
        <w:rPr>
          <w:rFonts w:ascii="仿宋" w:hAnsi="仿宋" w:cs="仿宋"/>
          <w:color w:val="auto"/>
          <w:sz w:val="32"/>
        </w:rPr>
      </w:pPr>
      <w:r>
        <w:rPr>
          <w:rFonts w:hint="eastAsia" w:ascii="仿宋" w:hAnsi="仿宋" w:cs="仿宋"/>
          <w:color w:val="auto"/>
          <w:sz w:val="32"/>
        </w:rPr>
        <w:t>（三）</w:t>
      </w:r>
      <w:r>
        <w:rPr>
          <w:rFonts w:hint="eastAsia" w:ascii="仿宋" w:hAnsi="仿宋" w:cs="仿宋"/>
          <w:color w:val="auto"/>
          <w:sz w:val="32"/>
          <w:lang w:eastAsia="zh-CN"/>
        </w:rPr>
        <w:t>面临</w:t>
      </w:r>
      <w:r>
        <w:rPr>
          <w:rFonts w:hint="eastAsia" w:ascii="仿宋" w:hAnsi="仿宋" w:cs="仿宋"/>
          <w:color w:val="auto"/>
          <w:sz w:val="32"/>
        </w:rPr>
        <w:t>形势</w:t>
      </w:r>
      <w:bookmarkEnd w:id="15"/>
    </w:p>
    <w:p>
      <w:pPr>
        <w:pageBreakBefore w:val="0"/>
        <w:kinsoku/>
        <w:wordWrap/>
        <w:overflowPunct/>
        <w:topLinePunct w:val="0"/>
        <w:autoSpaceDE/>
        <w:autoSpaceDN/>
        <w:bidi w:val="0"/>
        <w:spacing w:line="620" w:lineRule="exact"/>
        <w:ind w:firstLine="600" w:firstLineChars="200"/>
        <w:rPr>
          <w:rFonts w:hint="eastAsia" w:eastAsia="仿宋_GB2312"/>
          <w:sz w:val="30"/>
          <w:szCs w:val="30"/>
          <w:highlight w:val="none"/>
          <w:lang w:eastAsia="zh-CN"/>
        </w:rPr>
      </w:pPr>
      <w:r>
        <w:rPr>
          <w:rFonts w:hint="eastAsia" w:eastAsia="仿宋_GB2312"/>
          <w:sz w:val="30"/>
          <w:szCs w:val="30"/>
          <w:highlight w:val="none"/>
        </w:rPr>
        <w:t>“十四五”时期是</w:t>
      </w:r>
      <w:r>
        <w:rPr>
          <w:rFonts w:hint="eastAsia" w:eastAsia="仿宋_GB2312"/>
          <w:sz w:val="30"/>
          <w:szCs w:val="30"/>
          <w:highlight w:val="none"/>
          <w:lang w:eastAsia="zh-CN"/>
        </w:rPr>
        <w:t>自治区</w:t>
      </w:r>
      <w:r>
        <w:rPr>
          <w:rFonts w:hint="eastAsia" w:eastAsia="仿宋_GB2312"/>
          <w:sz w:val="30"/>
          <w:szCs w:val="30"/>
          <w:highlight w:val="none"/>
        </w:rPr>
        <w:t>水资源节约集约利用、全面推进节水型社会建设的机遇期</w:t>
      </w:r>
      <w:r>
        <w:rPr>
          <w:rFonts w:hint="eastAsia" w:eastAsia="仿宋_GB2312"/>
          <w:sz w:val="30"/>
          <w:szCs w:val="30"/>
          <w:highlight w:val="none"/>
          <w:lang w:eastAsia="zh-CN"/>
        </w:rPr>
        <w:t>，也面临许多风险挑战。</w:t>
      </w:r>
    </w:p>
    <w:p>
      <w:pPr>
        <w:pStyle w:val="8"/>
        <w:spacing w:line="360" w:lineRule="auto"/>
        <w:ind w:firstLine="602"/>
        <w:rPr>
          <w:rFonts w:hint="eastAsia" w:eastAsia="仿宋_GB2312"/>
          <w:sz w:val="30"/>
          <w:szCs w:val="30"/>
          <w:highlight w:val="none"/>
          <w:lang w:eastAsia="zh-CN"/>
        </w:rPr>
      </w:pPr>
      <w:r>
        <w:rPr>
          <w:rFonts w:hint="eastAsia" w:eastAsia="仿宋_GB2312"/>
          <w:sz w:val="30"/>
          <w:szCs w:val="30"/>
          <w:highlight w:val="none"/>
          <w:lang w:eastAsia="zh-CN"/>
        </w:rPr>
        <w:t>从机遇看，党中央确定要把内蒙古建设成为我国北方重要生态安全屏障，自治区党委、政府明确自治区未来发展要走生态优先、绿色和高质量发展道路，加强集约节约用水管理，</w:t>
      </w:r>
      <w:r>
        <w:rPr>
          <w:rFonts w:hint="eastAsia" w:eastAsia="仿宋_GB2312"/>
          <w:bCs/>
          <w:color w:val="auto"/>
          <w:sz w:val="30"/>
          <w:szCs w:val="30"/>
        </w:rPr>
        <w:t>提高水资源利用效率，</w:t>
      </w:r>
      <w:r>
        <w:rPr>
          <w:rFonts w:hint="eastAsia" w:eastAsia="仿宋_GB2312"/>
          <w:bCs/>
          <w:color w:val="auto"/>
          <w:sz w:val="30"/>
          <w:szCs w:val="30"/>
          <w:lang w:eastAsia="zh-CN"/>
        </w:rPr>
        <w:t>是促进全区</w:t>
      </w:r>
      <w:r>
        <w:rPr>
          <w:rFonts w:hint="eastAsia" w:eastAsia="仿宋_GB2312"/>
          <w:bCs/>
          <w:color w:val="auto"/>
          <w:sz w:val="30"/>
          <w:szCs w:val="30"/>
        </w:rPr>
        <w:t>调结构、转功能、提质量</w:t>
      </w:r>
      <w:r>
        <w:rPr>
          <w:rFonts w:hint="eastAsia" w:eastAsia="仿宋_GB2312"/>
          <w:bCs/>
          <w:color w:val="auto"/>
          <w:sz w:val="30"/>
          <w:szCs w:val="30"/>
          <w:lang w:eastAsia="zh-CN"/>
        </w:rPr>
        <w:t>的重要手段，也是解决</w:t>
      </w:r>
      <w:r>
        <w:rPr>
          <w:rFonts w:hint="eastAsia" w:eastAsia="仿宋_GB2312"/>
          <w:bCs/>
          <w:color w:val="auto"/>
          <w:sz w:val="30"/>
          <w:szCs w:val="30"/>
        </w:rPr>
        <w:t>人口、经济等与水资源</w:t>
      </w:r>
      <w:r>
        <w:rPr>
          <w:rFonts w:hint="eastAsia" w:eastAsia="仿宋_GB2312"/>
          <w:bCs/>
          <w:color w:val="auto"/>
          <w:sz w:val="30"/>
          <w:szCs w:val="30"/>
          <w:lang w:eastAsia="zh-CN"/>
        </w:rPr>
        <w:t>不</w:t>
      </w:r>
      <w:r>
        <w:rPr>
          <w:rFonts w:hint="eastAsia" w:eastAsia="仿宋_GB2312"/>
          <w:bCs/>
          <w:color w:val="auto"/>
          <w:sz w:val="30"/>
          <w:szCs w:val="30"/>
        </w:rPr>
        <w:t>均衡</w:t>
      </w:r>
      <w:r>
        <w:rPr>
          <w:rFonts w:hint="eastAsia" w:eastAsia="仿宋_GB2312"/>
          <w:bCs/>
          <w:color w:val="auto"/>
          <w:sz w:val="30"/>
          <w:szCs w:val="30"/>
          <w:lang w:eastAsia="zh-CN"/>
        </w:rPr>
        <w:t>，</w:t>
      </w:r>
      <w:r>
        <w:rPr>
          <w:rFonts w:hint="eastAsia" w:eastAsia="仿宋_GB2312"/>
          <w:sz w:val="30"/>
          <w:szCs w:val="30"/>
          <w:highlight w:val="none"/>
        </w:rPr>
        <w:t>生态系统脆弱，资源环境约束趋紧等问题</w:t>
      </w:r>
      <w:r>
        <w:rPr>
          <w:rFonts w:hint="eastAsia" w:eastAsia="仿宋_GB2312"/>
          <w:bCs/>
          <w:color w:val="auto"/>
          <w:sz w:val="30"/>
          <w:szCs w:val="30"/>
          <w:lang w:eastAsia="zh-CN"/>
        </w:rPr>
        <w:t>的客观要求。为了</w:t>
      </w:r>
      <w:r>
        <w:rPr>
          <w:rFonts w:hint="eastAsia" w:eastAsia="仿宋_GB2312"/>
          <w:sz w:val="30"/>
          <w:szCs w:val="30"/>
          <w:highlight w:val="none"/>
          <w:lang w:eastAsia="zh-CN"/>
        </w:rPr>
        <w:t>切实推进节水工作，自治区印发了《内蒙古自治区节水行动方案</w:t>
      </w:r>
      <w:r>
        <w:rPr>
          <w:rFonts w:hint="eastAsia" w:eastAsia="仿宋_GB2312"/>
          <w:bCs/>
          <w:color w:val="auto"/>
          <w:sz w:val="30"/>
          <w:szCs w:val="30"/>
        </w:rPr>
        <w:t>》</w:t>
      </w:r>
      <w:r>
        <w:rPr>
          <w:rFonts w:hint="eastAsia" w:eastAsia="仿宋_GB2312"/>
          <w:bCs/>
          <w:color w:val="auto"/>
          <w:sz w:val="30"/>
          <w:szCs w:val="30"/>
          <w:lang w:eastAsia="zh-CN"/>
        </w:rPr>
        <w:t>，</w:t>
      </w:r>
      <w:r>
        <w:rPr>
          <w:rFonts w:hint="eastAsia" w:eastAsia="仿宋"/>
          <w:color w:val="auto"/>
          <w:sz w:val="30"/>
          <w:szCs w:val="30"/>
        </w:rPr>
        <w:t>建立了</w:t>
      </w:r>
      <w:r>
        <w:rPr>
          <w:rFonts w:hint="eastAsia" w:eastAsia="仿宋_GB2312"/>
          <w:bCs/>
          <w:color w:val="auto"/>
          <w:sz w:val="30"/>
          <w:szCs w:val="30"/>
        </w:rPr>
        <w:t>22个部门参与的</w:t>
      </w:r>
      <w:r>
        <w:rPr>
          <w:rFonts w:hint="eastAsia" w:eastAsia="仿宋"/>
          <w:color w:val="auto"/>
          <w:sz w:val="30"/>
          <w:szCs w:val="30"/>
        </w:rPr>
        <w:t>节水行动厅际联席会议制度，为</w:t>
      </w:r>
      <w:r>
        <w:rPr>
          <w:rFonts w:hint="eastAsia" w:eastAsia="仿宋_GB2312"/>
          <w:bCs/>
          <w:color w:val="auto"/>
          <w:sz w:val="30"/>
          <w:szCs w:val="30"/>
          <w:lang w:eastAsia="zh-CN"/>
        </w:rPr>
        <w:t>“十四五”时期</w:t>
      </w:r>
      <w:r>
        <w:rPr>
          <w:rFonts w:hint="eastAsia" w:eastAsia="仿宋_GB2312"/>
          <w:bCs/>
          <w:color w:val="auto"/>
          <w:sz w:val="30"/>
          <w:szCs w:val="30"/>
        </w:rPr>
        <w:t>我区节水型社会建设奠定了良好的基础。</w:t>
      </w:r>
    </w:p>
    <w:p>
      <w:pPr>
        <w:pStyle w:val="8"/>
        <w:spacing w:line="360" w:lineRule="auto"/>
        <w:ind w:firstLine="602"/>
        <w:rPr>
          <w:rFonts w:hint="eastAsia" w:eastAsia="仿宋_GB2312"/>
          <w:sz w:val="30"/>
          <w:szCs w:val="30"/>
          <w:highlight w:val="none"/>
          <w:lang w:eastAsia="zh-CN"/>
        </w:rPr>
      </w:pPr>
      <w:r>
        <w:rPr>
          <w:rFonts w:hint="eastAsia" w:eastAsia="仿宋_GB2312"/>
          <w:sz w:val="30"/>
          <w:szCs w:val="30"/>
          <w:highlight w:val="none"/>
          <w:lang w:eastAsia="zh-CN"/>
        </w:rPr>
        <w:t>从挑战看，新冠肺炎疫情影响广泛深远，自治区经济下行压力依然较大，部分工业企业实施节水工艺改造存在资金困难，同时，按照国家粮食安全政策要求，短期内大面积压减不合理农业灌溉面积不现实，推广科学农业节水灌溉仍然存在观念阻力。</w:t>
      </w:r>
    </w:p>
    <w:p>
      <w:pPr>
        <w:pStyle w:val="8"/>
        <w:spacing w:line="360" w:lineRule="auto"/>
        <w:ind w:firstLine="602"/>
        <w:rPr>
          <w:rFonts w:hint="eastAsia" w:eastAsia="仿宋_GB2312"/>
          <w:sz w:val="30"/>
          <w:szCs w:val="30"/>
          <w:highlight w:val="none"/>
          <w:lang w:eastAsia="zh-CN"/>
        </w:rPr>
      </w:pPr>
      <w:r>
        <w:rPr>
          <w:rFonts w:hint="eastAsia" w:eastAsia="仿宋_GB2312"/>
          <w:sz w:val="30"/>
          <w:szCs w:val="30"/>
          <w:highlight w:val="none"/>
          <w:lang w:eastAsia="zh-CN"/>
        </w:rPr>
        <w:t>“十四五”时期必须进一步解放思想，增强紧迫意识和大局意识，抓住机遇，破解难题，持之以恒推动节水型社会建设。</w:t>
      </w:r>
    </w:p>
    <w:p>
      <w:pPr>
        <w:pStyle w:val="4"/>
        <w:keepNext w:val="0"/>
        <w:keepLines w:val="0"/>
        <w:spacing w:before="217" w:beforeLines="50" w:after="217" w:afterLines="50" w:line="360" w:lineRule="auto"/>
        <w:ind w:firstLine="640" w:firstLineChars="200"/>
        <w:contextualSpacing/>
        <w:rPr>
          <w:rFonts w:ascii="黑体" w:hAnsi="黑体" w:eastAsia="黑体" w:cs="Times New Roman"/>
          <w:b w:val="0"/>
          <w:bCs w:val="0"/>
          <w:color w:val="auto"/>
          <w:sz w:val="32"/>
        </w:rPr>
      </w:pPr>
      <w:bookmarkStart w:id="16" w:name="_Toc15781"/>
      <w:r>
        <w:rPr>
          <w:rFonts w:hint="eastAsia" w:ascii="黑体" w:hAnsi="黑体" w:eastAsia="黑体" w:cs="Times New Roman"/>
          <w:b w:val="0"/>
          <w:bCs w:val="0"/>
          <w:color w:val="auto"/>
          <w:sz w:val="32"/>
        </w:rPr>
        <w:t>二、总体要求</w:t>
      </w:r>
      <w:bookmarkEnd w:id="16"/>
    </w:p>
    <w:p>
      <w:pPr>
        <w:pStyle w:val="4"/>
        <w:keepNext w:val="0"/>
        <w:keepLines w:val="0"/>
        <w:spacing w:before="217" w:beforeLines="50" w:after="217" w:afterLines="50" w:line="360" w:lineRule="auto"/>
        <w:ind w:firstLine="642" w:firstLineChars="200"/>
        <w:contextualSpacing/>
        <w:rPr>
          <w:rFonts w:ascii="仿宋" w:hAnsi="仿宋" w:cs="仿宋"/>
          <w:color w:val="auto"/>
          <w:sz w:val="32"/>
        </w:rPr>
      </w:pPr>
      <w:bookmarkStart w:id="17" w:name="_Toc27235"/>
      <w:r>
        <w:rPr>
          <w:rFonts w:hint="eastAsia" w:ascii="仿宋" w:hAnsi="仿宋" w:cs="仿宋"/>
          <w:color w:val="auto"/>
          <w:sz w:val="32"/>
        </w:rPr>
        <w:t>（一）指导思想</w:t>
      </w:r>
      <w:bookmarkEnd w:id="17"/>
    </w:p>
    <w:p>
      <w:pPr>
        <w:adjustRightInd w:val="0"/>
        <w:spacing w:line="360" w:lineRule="auto"/>
        <w:ind w:firstLine="600" w:firstLineChars="200"/>
        <w:contextualSpacing/>
        <w:rPr>
          <w:rFonts w:eastAsia="仿宋_GB2312"/>
          <w:color w:val="auto"/>
          <w:sz w:val="30"/>
          <w:szCs w:val="30"/>
        </w:rPr>
      </w:pPr>
      <w:r>
        <w:rPr>
          <w:rFonts w:hint="eastAsia" w:eastAsia="仿宋_GB2312"/>
          <w:color w:val="auto"/>
          <w:sz w:val="30"/>
          <w:szCs w:val="30"/>
        </w:rPr>
        <w:t>以习近平新时代中国特色社会主义思想为指导，全面贯彻党的十九大和十九届二中、三中、四中、五中全会精神，深入落实习近平总书记对内蒙古重要讲话重要指示精神，立足新发展阶段，以实现水资源节约集约安全利用为目标，以农业、工业和城镇生活节水以及非常规水源利用为重点，以节水基础设施建设为抓手，以节水科技创新和市场机制改革为动力，深入实施节水行动，提高水资源利用效率，健全节水激励机制，加快形成节水型生产生活方式，全面建设节水型社会，推动经济社会高质量发展。</w:t>
      </w:r>
    </w:p>
    <w:p>
      <w:pPr>
        <w:pStyle w:val="4"/>
        <w:keepNext w:val="0"/>
        <w:keepLines w:val="0"/>
        <w:spacing w:before="217" w:beforeLines="50" w:after="217" w:afterLines="50" w:line="360" w:lineRule="auto"/>
        <w:ind w:firstLine="642" w:firstLineChars="200"/>
        <w:contextualSpacing/>
        <w:rPr>
          <w:rFonts w:ascii="仿宋" w:hAnsi="仿宋" w:cs="仿宋"/>
          <w:color w:val="auto"/>
          <w:sz w:val="32"/>
        </w:rPr>
      </w:pPr>
      <w:bookmarkStart w:id="18" w:name="_Toc5734"/>
      <w:r>
        <w:rPr>
          <w:rFonts w:hint="eastAsia" w:ascii="仿宋" w:hAnsi="仿宋" w:cs="仿宋"/>
          <w:color w:val="auto"/>
          <w:sz w:val="32"/>
        </w:rPr>
        <w:t>（二）基本原则</w:t>
      </w:r>
      <w:bookmarkEnd w:id="18"/>
    </w:p>
    <w:p>
      <w:pPr>
        <w:adjustRightInd w:val="0"/>
        <w:spacing w:line="360" w:lineRule="auto"/>
        <w:ind w:firstLine="602" w:firstLineChars="200"/>
        <w:contextualSpacing/>
        <w:rPr>
          <w:rFonts w:hint="eastAsia" w:eastAsia="仿宋_GB2312"/>
          <w:color w:val="auto"/>
          <w:sz w:val="30"/>
          <w:szCs w:val="30"/>
        </w:rPr>
      </w:pPr>
      <w:r>
        <w:rPr>
          <w:rFonts w:hint="eastAsia" w:eastAsia="仿宋_GB2312"/>
          <w:b/>
          <w:bCs/>
          <w:color w:val="auto"/>
          <w:sz w:val="30"/>
          <w:szCs w:val="30"/>
          <w:lang w:eastAsia="zh-CN"/>
        </w:rPr>
        <w:t>对标先进</w:t>
      </w:r>
      <w:r>
        <w:rPr>
          <w:rFonts w:hint="eastAsia" w:eastAsia="仿宋_GB2312"/>
          <w:b/>
          <w:bCs/>
          <w:color w:val="auto"/>
          <w:sz w:val="30"/>
          <w:szCs w:val="30"/>
        </w:rPr>
        <w:t>、集中攻坚</w:t>
      </w:r>
      <w:r>
        <w:rPr>
          <w:rFonts w:hint="eastAsia" w:eastAsia="仿宋_GB2312"/>
          <w:color w:val="auto"/>
          <w:sz w:val="30"/>
          <w:szCs w:val="30"/>
        </w:rPr>
        <w:t>。</w:t>
      </w:r>
      <w:r>
        <w:rPr>
          <w:rFonts w:hint="eastAsia" w:eastAsia="仿宋_GB2312"/>
          <w:color w:val="auto"/>
          <w:sz w:val="30"/>
          <w:szCs w:val="30"/>
          <w:lang w:eastAsia="zh-CN"/>
        </w:rPr>
        <w:t>按照达到或接近国内外先进用水水平的原则，制定各领域节水标准，加强节水</w:t>
      </w:r>
      <w:r>
        <w:rPr>
          <w:rFonts w:hint="eastAsia" w:eastAsia="仿宋_GB2312"/>
          <w:color w:val="auto"/>
          <w:sz w:val="30"/>
          <w:szCs w:val="30"/>
        </w:rPr>
        <w:t>监管</w:t>
      </w:r>
      <w:r>
        <w:rPr>
          <w:rFonts w:hint="eastAsia" w:eastAsia="仿宋_GB2312"/>
          <w:color w:val="auto"/>
          <w:sz w:val="30"/>
          <w:szCs w:val="30"/>
          <w:lang w:eastAsia="zh-CN"/>
        </w:rPr>
        <w:t>，全面提升社会用水效率。</w:t>
      </w:r>
      <w:r>
        <w:rPr>
          <w:rFonts w:hint="eastAsia" w:eastAsia="仿宋_GB2312"/>
          <w:color w:val="auto"/>
          <w:sz w:val="30"/>
          <w:szCs w:val="30"/>
        </w:rPr>
        <w:t>在地下水超采地区、严重缺水地区率先突破，集中力量打好阶段性节水攻坚战。</w:t>
      </w:r>
    </w:p>
    <w:p>
      <w:pPr>
        <w:spacing w:line="360" w:lineRule="auto"/>
        <w:ind w:firstLine="602" w:firstLineChars="200"/>
        <w:rPr>
          <w:rFonts w:eastAsia="仿宋_GB2312"/>
          <w:color w:val="auto"/>
          <w:sz w:val="30"/>
          <w:szCs w:val="30"/>
        </w:rPr>
      </w:pPr>
      <w:r>
        <w:rPr>
          <w:rFonts w:hint="eastAsia" w:ascii="仿宋" w:hAnsi="仿宋" w:eastAsia="仿宋" w:cs="仿宋"/>
          <w:b/>
          <w:bCs/>
          <w:color w:val="auto"/>
          <w:sz w:val="30"/>
          <w:szCs w:val="30"/>
        </w:rPr>
        <w:t>因地制宜、分类施策</w:t>
      </w:r>
      <w:r>
        <w:rPr>
          <w:rFonts w:hint="eastAsia" w:ascii="仿宋" w:hAnsi="仿宋" w:eastAsia="仿宋" w:cs="仿宋"/>
          <w:color w:val="auto"/>
          <w:sz w:val="30"/>
          <w:szCs w:val="30"/>
        </w:rPr>
        <w:t>。根据水资源条件、产业结构和用水水平，因地制宜</w:t>
      </w:r>
      <w:r>
        <w:rPr>
          <w:rFonts w:eastAsia="仿宋_GB2312"/>
          <w:color w:val="auto"/>
          <w:sz w:val="30"/>
          <w:szCs w:val="30"/>
        </w:rPr>
        <w:t>、注重实效，制订分区、分类节水目标任务和切实可行的节水措施。</w:t>
      </w:r>
    </w:p>
    <w:p>
      <w:pPr>
        <w:spacing w:line="360" w:lineRule="auto"/>
        <w:ind w:firstLine="602" w:firstLineChars="200"/>
        <w:rPr>
          <w:rFonts w:eastAsia="仿宋_GB2312"/>
          <w:color w:val="auto"/>
          <w:sz w:val="30"/>
          <w:szCs w:val="30"/>
        </w:rPr>
      </w:pPr>
      <w:r>
        <w:rPr>
          <w:rFonts w:hint="eastAsia" w:ascii="仿宋" w:hAnsi="仿宋" w:eastAsia="仿宋" w:cs="仿宋"/>
          <w:b/>
          <w:bCs/>
          <w:color w:val="auto"/>
          <w:sz w:val="30"/>
          <w:szCs w:val="30"/>
        </w:rPr>
        <w:t>制度创新、科技引领</w:t>
      </w:r>
      <w:r>
        <w:rPr>
          <w:rFonts w:hint="eastAsia" w:ascii="仿宋" w:hAnsi="仿宋" w:eastAsia="仿宋" w:cs="仿宋"/>
          <w:color w:val="auto"/>
          <w:sz w:val="30"/>
          <w:szCs w:val="30"/>
        </w:rPr>
        <w:t>。</w:t>
      </w:r>
      <w:r>
        <w:rPr>
          <w:rFonts w:eastAsia="仿宋_GB2312"/>
          <w:color w:val="auto"/>
          <w:sz w:val="30"/>
          <w:szCs w:val="30"/>
        </w:rPr>
        <w:t>健全完善节水政策法规体系，充分发挥政府和市场两手作用，不断增强节水内生动力。强化科技支撑，推广先进适用节水技术与用水工艺，加快推进节水技术装备产品研发及产业化。</w:t>
      </w:r>
    </w:p>
    <w:p>
      <w:pPr>
        <w:spacing w:line="360" w:lineRule="auto"/>
        <w:ind w:firstLine="602" w:firstLineChars="200"/>
        <w:rPr>
          <w:rFonts w:eastAsia="仿宋_GB2312"/>
          <w:color w:val="auto"/>
          <w:sz w:val="30"/>
          <w:szCs w:val="30"/>
        </w:rPr>
      </w:pPr>
      <w:r>
        <w:rPr>
          <w:rFonts w:hint="eastAsia" w:ascii="仿宋" w:hAnsi="仿宋" w:eastAsia="仿宋" w:cs="仿宋"/>
          <w:b/>
          <w:bCs/>
          <w:color w:val="auto"/>
          <w:sz w:val="30"/>
          <w:szCs w:val="30"/>
        </w:rPr>
        <w:t>落实责任、严格考核</w:t>
      </w:r>
      <w:r>
        <w:rPr>
          <w:rFonts w:hint="eastAsia" w:ascii="仿宋" w:hAnsi="仿宋" w:eastAsia="仿宋" w:cs="仿宋"/>
          <w:color w:val="auto"/>
          <w:sz w:val="30"/>
          <w:szCs w:val="30"/>
        </w:rPr>
        <w:t>。</w:t>
      </w:r>
      <w:r>
        <w:rPr>
          <w:rFonts w:eastAsia="仿宋_GB2312"/>
          <w:color w:val="auto"/>
          <w:sz w:val="30"/>
          <w:szCs w:val="30"/>
        </w:rPr>
        <w:t>充分发挥政府对节水的引导作用，加强部门合作，明确任务分工，压实目标责任；健全节水考核监督制度，强化节水激励，严格责任追究。</w:t>
      </w:r>
    </w:p>
    <w:p>
      <w:pPr>
        <w:pStyle w:val="4"/>
        <w:keepNext w:val="0"/>
        <w:keepLines w:val="0"/>
        <w:spacing w:before="217" w:beforeLines="50" w:after="217" w:afterLines="50" w:line="360" w:lineRule="auto"/>
        <w:ind w:firstLine="642" w:firstLineChars="200"/>
        <w:contextualSpacing/>
        <w:rPr>
          <w:rFonts w:ascii="仿宋" w:hAnsi="仿宋" w:cs="仿宋"/>
          <w:color w:val="auto"/>
          <w:sz w:val="32"/>
        </w:rPr>
      </w:pPr>
      <w:bookmarkStart w:id="19" w:name="_Toc25561"/>
      <w:r>
        <w:rPr>
          <w:rFonts w:hint="eastAsia" w:ascii="仿宋" w:hAnsi="仿宋" w:cs="仿宋"/>
          <w:color w:val="auto"/>
          <w:sz w:val="32"/>
        </w:rPr>
        <w:t>（三）规划目标</w:t>
      </w:r>
      <w:bookmarkEnd w:id="19"/>
    </w:p>
    <w:p>
      <w:pPr>
        <w:adjustRightInd w:val="0"/>
        <w:spacing w:line="360" w:lineRule="auto"/>
        <w:ind w:firstLine="600" w:firstLineChars="200"/>
        <w:contextualSpacing/>
        <w:rPr>
          <w:rFonts w:hint="eastAsia"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到2025年，全面完成《内蒙古自治区节水行动方案》的目标任务，节水政策法规、市场机制、标准体系进一步完善，用水方式向节约集约转变稳步推进，节约用水基础设施短板和监管能力弱项明显改善，水资源利用效率和效益大幅提高，节水型社会建设取得明显成效。</w:t>
      </w:r>
    </w:p>
    <w:p>
      <w:pPr>
        <w:pStyle w:val="8"/>
      </w:pPr>
    </w:p>
    <w:p>
      <w:pPr>
        <w:pStyle w:val="8"/>
      </w:pPr>
    </w:p>
    <w:p>
      <w:pPr>
        <w:pStyle w:val="8"/>
      </w:pPr>
    </w:p>
    <w:p>
      <w:pPr>
        <w:pStyle w:val="8"/>
      </w:pPr>
    </w:p>
    <w:p>
      <w:pPr>
        <w:pStyle w:val="8"/>
      </w:pPr>
    </w:p>
    <w:p>
      <w:pPr>
        <w:pStyle w:val="8"/>
      </w:pPr>
    </w:p>
    <w:p>
      <w:pPr>
        <w:pStyle w:val="8"/>
        <w:ind w:firstLine="600"/>
        <w:rPr>
          <w:rFonts w:eastAsia="仿宋"/>
          <w:color w:val="auto"/>
          <w:sz w:val="30"/>
          <w:szCs w:val="30"/>
        </w:rPr>
      </w:pPr>
    </w:p>
    <w:p>
      <w:pPr>
        <w:adjustRightInd w:val="0"/>
        <w:spacing w:line="620" w:lineRule="exact"/>
        <w:contextualSpacing/>
        <w:jc w:val="center"/>
        <w:rPr>
          <w:rFonts w:hint="eastAsia" w:ascii="黑体" w:hAnsi="黑体" w:eastAsia="黑体"/>
          <w:color w:val="auto"/>
          <w:sz w:val="28"/>
          <w:szCs w:val="28"/>
        </w:rPr>
      </w:pPr>
      <w:r>
        <w:rPr>
          <w:rFonts w:hint="eastAsia" w:ascii="黑体" w:hAnsi="黑体" w:eastAsia="黑体"/>
          <w:color w:val="auto"/>
          <w:sz w:val="28"/>
          <w:szCs w:val="28"/>
        </w:rPr>
        <w:t>内蒙古自治区“十四五”节水型社会建设主要目标指标</w:t>
      </w:r>
    </w:p>
    <w:p>
      <w:pPr>
        <w:pStyle w:val="8"/>
      </w:pPr>
    </w:p>
    <w:tbl>
      <w:tblPr>
        <w:tblStyle w:val="27"/>
        <w:tblW w:w="4998" w:type="pct"/>
        <w:tblInd w:w="0" w:type="dxa"/>
        <w:tblLayout w:type="autofit"/>
        <w:tblCellMar>
          <w:top w:w="0" w:type="dxa"/>
          <w:left w:w="0" w:type="dxa"/>
          <w:bottom w:w="0" w:type="dxa"/>
          <w:right w:w="0" w:type="dxa"/>
        </w:tblCellMar>
      </w:tblPr>
      <w:tblGrid>
        <w:gridCol w:w="6281"/>
        <w:gridCol w:w="2048"/>
      </w:tblGrid>
      <w:tr>
        <w:tblPrEx>
          <w:tblCellMar>
            <w:top w:w="0" w:type="dxa"/>
            <w:left w:w="0" w:type="dxa"/>
            <w:bottom w:w="0" w:type="dxa"/>
            <w:right w:w="0" w:type="dxa"/>
          </w:tblCellMar>
        </w:tblPrEx>
        <w:trPr>
          <w:trHeight w:val="510" w:hRule="atLeast"/>
        </w:trPr>
        <w:tc>
          <w:tcPr>
            <w:tcW w:w="377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指标</w:t>
            </w:r>
          </w:p>
        </w:tc>
        <w:tc>
          <w:tcPr>
            <w:tcW w:w="122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2025</w:t>
            </w:r>
            <w:r>
              <w:rPr>
                <w:rStyle w:val="77"/>
                <w:rFonts w:hint="eastAsia" w:ascii="仿宋" w:hAnsi="仿宋" w:eastAsia="仿宋" w:cs="仿宋"/>
                <w:color w:val="auto"/>
                <w:lang w:bidi="ar"/>
              </w:rPr>
              <w:t>年</w:t>
            </w:r>
          </w:p>
        </w:tc>
      </w:tr>
      <w:tr>
        <w:tblPrEx>
          <w:tblCellMar>
            <w:top w:w="0" w:type="dxa"/>
            <w:left w:w="0" w:type="dxa"/>
            <w:bottom w:w="0" w:type="dxa"/>
            <w:right w:w="0" w:type="dxa"/>
          </w:tblCellMar>
        </w:tblPrEx>
        <w:trPr>
          <w:trHeight w:val="510" w:hRule="atLeast"/>
        </w:trPr>
        <w:tc>
          <w:tcPr>
            <w:tcW w:w="377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万元</w:t>
            </w:r>
            <w:r>
              <w:rPr>
                <w:rFonts w:ascii="仿宋" w:hAnsi="仿宋" w:eastAsia="仿宋" w:cs="仿宋"/>
                <w:color w:val="auto"/>
                <w:kern w:val="0"/>
                <w:sz w:val="24"/>
                <w:szCs w:val="24"/>
                <w:lang w:bidi="ar"/>
              </w:rPr>
              <w:t>国内生产总值用水量</w:t>
            </w:r>
            <w:r>
              <w:rPr>
                <w:rFonts w:hint="eastAsia" w:ascii="仿宋" w:hAnsi="仿宋" w:eastAsia="仿宋" w:cs="仿宋"/>
                <w:color w:val="auto"/>
                <w:kern w:val="0"/>
                <w:sz w:val="24"/>
                <w:lang w:bidi="ar"/>
              </w:rPr>
              <w:t>下降率（</w:t>
            </w:r>
            <w:r>
              <w:rPr>
                <w:rStyle w:val="73"/>
                <w:rFonts w:hint="default"/>
                <w:color w:val="auto"/>
                <w:lang w:bidi="ar"/>
              </w:rPr>
              <w:t>%</w:t>
            </w:r>
            <w:r>
              <w:rPr>
                <w:rStyle w:val="77"/>
                <w:rFonts w:hint="eastAsia" w:ascii="仿宋" w:hAnsi="仿宋" w:eastAsia="仿宋" w:cs="仿宋"/>
                <w:color w:val="auto"/>
                <w:lang w:bidi="ar"/>
              </w:rPr>
              <w:t>）</w:t>
            </w:r>
          </w:p>
        </w:tc>
        <w:tc>
          <w:tcPr>
            <w:tcW w:w="122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宋体"/>
                <w:color w:val="auto"/>
                <w:kern w:val="0"/>
                <w:sz w:val="24"/>
                <w:szCs w:val="24"/>
                <w:highlight w:val="none"/>
                <w:lang w:val="en-US" w:eastAsia="zh-CN"/>
              </w:rPr>
              <w:t>12</w:t>
            </w:r>
          </w:p>
        </w:tc>
      </w:tr>
      <w:tr>
        <w:tblPrEx>
          <w:tblCellMar>
            <w:top w:w="0" w:type="dxa"/>
            <w:left w:w="0" w:type="dxa"/>
            <w:bottom w:w="0" w:type="dxa"/>
            <w:right w:w="0" w:type="dxa"/>
          </w:tblCellMar>
        </w:tblPrEx>
        <w:trPr>
          <w:trHeight w:val="510" w:hRule="atLeast"/>
        </w:trPr>
        <w:tc>
          <w:tcPr>
            <w:tcW w:w="377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万元工业增加值用水量下降率（</w:t>
            </w:r>
            <w:r>
              <w:rPr>
                <w:rStyle w:val="73"/>
                <w:rFonts w:hint="default"/>
                <w:color w:val="auto"/>
                <w:lang w:bidi="ar"/>
              </w:rPr>
              <w:t>%</w:t>
            </w:r>
            <w:r>
              <w:rPr>
                <w:rStyle w:val="77"/>
                <w:rFonts w:hint="eastAsia" w:ascii="仿宋" w:hAnsi="仿宋" w:eastAsia="仿宋" w:cs="仿宋"/>
                <w:color w:val="auto"/>
                <w:lang w:bidi="ar"/>
              </w:rPr>
              <w:t>）</w:t>
            </w:r>
          </w:p>
        </w:tc>
        <w:tc>
          <w:tcPr>
            <w:tcW w:w="122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宋体"/>
                <w:color w:val="auto"/>
                <w:kern w:val="0"/>
                <w:sz w:val="24"/>
                <w:szCs w:val="24"/>
                <w:highlight w:val="none"/>
                <w:lang w:val="en-US" w:eastAsia="zh-CN"/>
              </w:rPr>
              <w:t>13</w:t>
            </w:r>
          </w:p>
        </w:tc>
      </w:tr>
      <w:tr>
        <w:tblPrEx>
          <w:tblCellMar>
            <w:top w:w="0" w:type="dxa"/>
            <w:left w:w="0" w:type="dxa"/>
            <w:bottom w:w="0" w:type="dxa"/>
            <w:right w:w="0" w:type="dxa"/>
          </w:tblCellMar>
        </w:tblPrEx>
        <w:trPr>
          <w:trHeight w:val="510" w:hRule="atLeast"/>
        </w:trPr>
        <w:tc>
          <w:tcPr>
            <w:tcW w:w="377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农田灌溉水有效利用系数</w:t>
            </w:r>
          </w:p>
        </w:tc>
        <w:tc>
          <w:tcPr>
            <w:tcW w:w="122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highlight w:val="none"/>
              </w:rPr>
            </w:pPr>
            <w:r>
              <w:rPr>
                <w:rFonts w:hint="eastAsia" w:ascii="仿宋" w:hAnsi="仿宋" w:eastAsia="仿宋" w:cs="宋体"/>
                <w:color w:val="auto"/>
                <w:kern w:val="0"/>
                <w:sz w:val="24"/>
                <w:szCs w:val="24"/>
                <w:highlight w:val="none"/>
              </w:rPr>
              <w:t>0.579</w:t>
            </w:r>
          </w:p>
        </w:tc>
      </w:tr>
      <w:tr>
        <w:tblPrEx>
          <w:tblCellMar>
            <w:top w:w="0" w:type="dxa"/>
            <w:left w:w="0" w:type="dxa"/>
            <w:bottom w:w="0" w:type="dxa"/>
            <w:right w:w="0" w:type="dxa"/>
          </w:tblCellMar>
        </w:tblPrEx>
        <w:trPr>
          <w:trHeight w:val="510" w:hRule="atLeast"/>
        </w:trPr>
        <w:tc>
          <w:tcPr>
            <w:tcW w:w="377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城市公共供水管网漏损率（</w:t>
            </w:r>
            <w:r>
              <w:rPr>
                <w:rStyle w:val="73"/>
                <w:rFonts w:hint="default"/>
                <w:color w:val="auto"/>
                <w:lang w:bidi="ar"/>
              </w:rPr>
              <w:t>%</w:t>
            </w:r>
            <w:r>
              <w:rPr>
                <w:rStyle w:val="77"/>
                <w:rFonts w:hint="eastAsia" w:ascii="仿宋" w:hAnsi="仿宋" w:eastAsia="仿宋" w:cs="仿宋"/>
                <w:color w:val="auto"/>
                <w:lang w:bidi="ar"/>
              </w:rPr>
              <w:t>）</w:t>
            </w:r>
          </w:p>
        </w:tc>
        <w:tc>
          <w:tcPr>
            <w:tcW w:w="122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620" w:lineRule="exact"/>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r>
    </w:tbl>
    <w:p>
      <w:pPr>
        <w:pStyle w:val="8"/>
        <w:spacing w:line="400" w:lineRule="exact"/>
        <w:ind w:left="0" w:leftChars="0" w:firstLine="0" w:firstLineChars="0"/>
        <w:rPr>
          <w:rFonts w:hint="eastAsia" w:eastAsia="仿宋_GB2312"/>
          <w:b w:val="0"/>
          <w:bCs w:val="0"/>
          <w:color w:val="auto"/>
          <w:sz w:val="28"/>
          <w:szCs w:val="28"/>
          <w:lang w:val="en-US" w:eastAsia="zh-CN"/>
        </w:rPr>
      </w:pPr>
      <w:r>
        <w:rPr>
          <w:rFonts w:hint="eastAsia" w:eastAsia="仿宋_GB2312"/>
          <w:b w:val="0"/>
          <w:bCs w:val="0"/>
          <w:color w:val="auto"/>
          <w:sz w:val="28"/>
          <w:szCs w:val="28"/>
          <w:lang w:val="en-US" w:eastAsia="zh-CN"/>
        </w:rPr>
        <w:t>注：（1）万元国内生产总值用水量下降率和万元工业增加值用水量下降率为与2020年的比较值。</w:t>
      </w:r>
    </w:p>
    <w:p>
      <w:pPr>
        <w:pStyle w:val="8"/>
        <w:spacing w:line="400" w:lineRule="exact"/>
        <w:ind w:left="0" w:leftChars="0" w:firstLine="0" w:firstLineChars="0"/>
        <w:rPr>
          <w:rFonts w:hint="eastAsia" w:eastAsia="仿宋_GB2312"/>
          <w:b w:val="0"/>
          <w:bCs w:val="0"/>
          <w:color w:val="auto"/>
          <w:sz w:val="28"/>
          <w:szCs w:val="28"/>
          <w:lang w:val="en-US" w:eastAsia="zh-CN"/>
        </w:rPr>
      </w:pPr>
      <w:r>
        <w:rPr>
          <w:rFonts w:hint="eastAsia" w:eastAsia="仿宋_GB2312"/>
          <w:b w:val="0"/>
          <w:bCs w:val="0"/>
          <w:color w:val="auto"/>
          <w:sz w:val="28"/>
          <w:szCs w:val="28"/>
          <w:lang w:val="en-US" w:eastAsia="zh-CN"/>
        </w:rPr>
        <w:t xml:space="preserve">    （2）2025年用水总量和用水效率指标为初步测算值，最终以国家正式下达指标为准。</w:t>
      </w:r>
    </w:p>
    <w:p>
      <w:pPr>
        <w:pStyle w:val="8"/>
        <w:spacing w:line="400" w:lineRule="exact"/>
        <w:ind w:left="0" w:leftChars="0" w:firstLine="0" w:firstLineChars="0"/>
        <w:rPr>
          <w:rFonts w:hint="default" w:eastAsia="仿宋_GB2312"/>
          <w:b w:val="0"/>
          <w:bCs w:val="0"/>
          <w:color w:val="auto"/>
          <w:sz w:val="28"/>
          <w:szCs w:val="28"/>
          <w:lang w:val="en-US" w:eastAsia="zh-CN"/>
        </w:rPr>
      </w:pPr>
    </w:p>
    <w:p>
      <w:pPr>
        <w:pStyle w:val="4"/>
        <w:keepNext w:val="0"/>
        <w:keepLines w:val="0"/>
        <w:spacing w:before="217" w:beforeLines="50" w:after="217" w:afterLines="50" w:line="360" w:lineRule="auto"/>
        <w:ind w:firstLine="640" w:firstLineChars="200"/>
        <w:contextualSpacing/>
        <w:rPr>
          <w:rFonts w:ascii="黑体" w:hAnsi="黑体" w:eastAsia="黑体" w:cs="Times New Roman"/>
          <w:b w:val="0"/>
          <w:bCs w:val="0"/>
          <w:color w:val="auto"/>
          <w:sz w:val="32"/>
        </w:rPr>
      </w:pPr>
      <w:bookmarkStart w:id="20" w:name="_Toc3709"/>
      <w:r>
        <w:rPr>
          <w:rFonts w:hint="eastAsia" w:ascii="黑体" w:hAnsi="黑体" w:eastAsia="黑体" w:cs="Times New Roman"/>
          <w:b w:val="0"/>
          <w:bCs w:val="0"/>
          <w:color w:val="auto"/>
          <w:sz w:val="32"/>
        </w:rPr>
        <w:t>三、主要任务</w:t>
      </w:r>
      <w:bookmarkEnd w:id="20"/>
    </w:p>
    <w:p>
      <w:pPr>
        <w:adjustRightInd w:val="0"/>
        <w:spacing w:line="360" w:lineRule="auto"/>
        <w:ind w:firstLine="600" w:firstLineChars="200"/>
        <w:contextualSpacing/>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贯彻落实习近平总书记“节水优先”重要指示，“十四五”期间，全区围绕“补短板、健机制、提意识、强科技”等方面开展节水型社会建设，重点任务包括：</w:t>
      </w:r>
    </w:p>
    <w:p>
      <w:pPr>
        <w:pStyle w:val="4"/>
        <w:keepNext w:val="0"/>
        <w:keepLines w:val="0"/>
        <w:spacing w:before="217" w:beforeLines="50" w:after="217" w:afterLines="50" w:line="360" w:lineRule="auto"/>
        <w:ind w:firstLine="642" w:firstLineChars="200"/>
        <w:contextualSpacing/>
        <w:rPr>
          <w:rFonts w:ascii="仿宋" w:hAnsi="仿宋" w:cs="仿宋"/>
          <w:color w:val="auto"/>
          <w:sz w:val="32"/>
        </w:rPr>
      </w:pPr>
      <w:bookmarkStart w:id="21" w:name="_Toc32581"/>
      <w:r>
        <w:rPr>
          <w:rFonts w:hint="eastAsia" w:ascii="仿宋" w:hAnsi="仿宋" w:cs="仿宋"/>
          <w:color w:val="auto"/>
          <w:sz w:val="32"/>
        </w:rPr>
        <w:t>（一）补齐设施短板</w:t>
      </w:r>
      <w:bookmarkEnd w:id="21"/>
    </w:p>
    <w:p>
      <w:pPr>
        <w:adjustRightInd w:val="0"/>
        <w:spacing w:line="360" w:lineRule="auto"/>
        <w:ind w:firstLine="602" w:firstLineChars="200"/>
        <w:contextualSpacing/>
        <w:rPr>
          <w:rFonts w:hint="eastAsia" w:ascii="Times New Roman" w:hAnsi="Times New Roman" w:eastAsia="仿宋" w:cs="Times New Roman"/>
          <w:color w:val="auto"/>
          <w:sz w:val="30"/>
          <w:szCs w:val="30"/>
          <w:lang w:eastAsia="zh-CN"/>
        </w:rPr>
      </w:pPr>
      <w:r>
        <w:rPr>
          <w:rFonts w:hint="eastAsia" w:ascii="仿宋" w:hAnsi="仿宋" w:eastAsia="仿宋" w:cs="仿宋"/>
          <w:b/>
          <w:bCs/>
          <w:color w:val="auto"/>
          <w:sz w:val="30"/>
          <w:szCs w:val="30"/>
        </w:rPr>
        <w:t>1、推进农业节水设施建设</w:t>
      </w:r>
      <w:r>
        <w:rPr>
          <w:rFonts w:hint="eastAsia" w:ascii="仿宋" w:hAnsi="仿宋" w:eastAsia="仿宋" w:cs="仿宋"/>
          <w:color w:val="auto"/>
          <w:sz w:val="30"/>
          <w:szCs w:val="30"/>
        </w:rPr>
        <w:t>。</w:t>
      </w:r>
      <w:r>
        <w:rPr>
          <w:rFonts w:hint="eastAsia" w:ascii="Times New Roman" w:hAnsi="Times New Roman" w:eastAsia="仿宋" w:cs="Times New Roman"/>
          <w:color w:val="auto"/>
          <w:sz w:val="30"/>
          <w:szCs w:val="30"/>
        </w:rPr>
        <w:t>继续推进大型灌区续建配套与现代化改造，实施中型灌区续建配套与节水改造，完善渠首工程和骨干工程体系，改造或衬砌干支渠道。统筹规划、同步实施高效节水灌溉与高标准农田建设，加大田间节水设施建设力度，积极推广滴灌、喷灌、管灌等节水灌溉方式，在干旱缺水地区积极推进设施农业和农田集雨设施建设。</w:t>
      </w:r>
      <w:r>
        <w:rPr>
          <w:rFonts w:hint="eastAsia" w:ascii="Times New Roman" w:hAnsi="Times New Roman" w:eastAsia="仿宋" w:cs="Times New Roman"/>
          <w:color w:val="auto"/>
          <w:sz w:val="30"/>
          <w:szCs w:val="30"/>
          <w:lang w:eastAsia="zh-CN"/>
        </w:rPr>
        <w:t>在有条件的地区推广发展“水改旱”或旱作农业。</w:t>
      </w:r>
    </w:p>
    <w:p>
      <w:pPr>
        <w:adjustRightInd w:val="0"/>
        <w:spacing w:line="360" w:lineRule="auto"/>
        <w:ind w:firstLine="602" w:firstLineChars="200"/>
        <w:contextualSpacing/>
        <w:rPr>
          <w:rFonts w:ascii="Times New Roman" w:hAnsi="Times New Roman" w:eastAsia="仿宋" w:cs="Times New Roman"/>
          <w:color w:val="auto"/>
          <w:sz w:val="30"/>
          <w:szCs w:val="30"/>
        </w:rPr>
      </w:pPr>
      <w:r>
        <w:rPr>
          <w:rFonts w:hint="eastAsia" w:ascii="仿宋" w:hAnsi="仿宋" w:eastAsia="仿宋" w:cs="仿宋"/>
          <w:b/>
          <w:bCs/>
          <w:color w:val="auto"/>
          <w:sz w:val="30"/>
          <w:szCs w:val="30"/>
        </w:rPr>
        <w:t>2、加快公共供水管网建设与改造</w:t>
      </w:r>
      <w:r>
        <w:rPr>
          <w:rFonts w:hint="eastAsia" w:ascii="仿宋" w:hAnsi="仿宋" w:eastAsia="仿宋" w:cs="仿宋"/>
          <w:color w:val="auto"/>
          <w:sz w:val="30"/>
          <w:szCs w:val="30"/>
        </w:rPr>
        <w:t>。</w:t>
      </w:r>
      <w:r>
        <w:rPr>
          <w:rFonts w:hint="eastAsia" w:ascii="Times New Roman" w:hAnsi="Times New Roman" w:eastAsia="仿宋" w:cs="Times New Roman"/>
          <w:color w:val="auto"/>
          <w:sz w:val="30"/>
          <w:szCs w:val="30"/>
        </w:rPr>
        <w:t>老城区结合更新改造，抓紧补齐供水管网短板，新城区供水管网按照高标准建设。优先在缺水城市，实施分区计量，逐步实现供水管网的网格化、精细化管理。加快村镇生活供水设施及配套管网建设与改造。</w:t>
      </w:r>
    </w:p>
    <w:p>
      <w:pPr>
        <w:adjustRightInd w:val="0"/>
        <w:spacing w:line="360" w:lineRule="auto"/>
        <w:ind w:firstLine="602" w:firstLineChars="200"/>
        <w:contextualSpacing/>
        <w:rPr>
          <w:color w:val="auto"/>
        </w:rPr>
      </w:pPr>
      <w:r>
        <w:rPr>
          <w:rFonts w:hint="eastAsia" w:ascii="仿宋" w:hAnsi="仿宋" w:eastAsia="仿宋" w:cs="仿宋"/>
          <w:b/>
          <w:bCs/>
          <w:color w:val="auto"/>
          <w:sz w:val="30"/>
          <w:szCs w:val="30"/>
        </w:rPr>
        <w:t>3、推进非常规水源利用设施建设</w:t>
      </w:r>
      <w:r>
        <w:rPr>
          <w:rFonts w:hint="eastAsia" w:ascii="仿宋" w:hAnsi="仿宋" w:eastAsia="仿宋" w:cs="仿宋"/>
          <w:color w:val="auto"/>
          <w:sz w:val="30"/>
          <w:szCs w:val="30"/>
        </w:rPr>
        <w:t>。</w:t>
      </w:r>
      <w:r>
        <w:rPr>
          <w:rFonts w:hint="eastAsia" w:ascii="Times New Roman" w:hAnsi="Times New Roman" w:eastAsia="仿宋" w:cs="Times New Roman"/>
          <w:color w:val="auto"/>
          <w:sz w:val="30"/>
          <w:szCs w:val="30"/>
        </w:rPr>
        <w:t>以缺水城市为重点，加快非常规水利用设施的建设和改造。完善再生水利用设施，加强公共再生水配套管网建设力度，逐步实行分质供水。新建小区、城市道路、公共绿地等因地制宜配套建设雨水集蓄利用设施，实现优水优用、循环循序利用，构建良性水循环系统。继续推进工业园区污水集中处理，加强对工业园区污水集中处理配套设施建设及运行管控，确保园区内企业污水全收集、全处理、稳定达标，加大再生水</w:t>
      </w:r>
      <w:r>
        <w:rPr>
          <w:rFonts w:hint="eastAsia" w:ascii="Times New Roman" w:hAnsi="Times New Roman" w:eastAsia="仿宋" w:cs="Times New Roman"/>
          <w:color w:val="auto"/>
          <w:sz w:val="30"/>
          <w:szCs w:val="30"/>
          <w:lang w:eastAsia="zh-CN"/>
        </w:rPr>
        <w:t>回</w:t>
      </w:r>
      <w:r>
        <w:rPr>
          <w:rFonts w:hint="eastAsia" w:ascii="Times New Roman" w:hAnsi="Times New Roman" w:eastAsia="仿宋" w:cs="Times New Roman"/>
          <w:color w:val="auto"/>
          <w:sz w:val="30"/>
          <w:szCs w:val="30"/>
        </w:rPr>
        <w:t>用力度。</w:t>
      </w:r>
      <w:r>
        <w:rPr>
          <w:rFonts w:hint="eastAsia" w:ascii="Times New Roman" w:hAnsi="Times New Roman" w:eastAsia="仿宋" w:cs="Times New Roman"/>
          <w:color w:val="auto"/>
          <w:sz w:val="30"/>
          <w:szCs w:val="30"/>
          <w:lang w:eastAsia="zh-CN"/>
        </w:rPr>
        <w:t>呼和浩特市、包头市等地区要加快推进再生水配套管网建设</w:t>
      </w:r>
      <w:r>
        <w:rPr>
          <w:rFonts w:hint="eastAsia" w:ascii="Times New Roman" w:hAnsi="Times New Roman" w:eastAsia="仿宋" w:cs="Times New Roman"/>
          <w:color w:val="auto"/>
          <w:sz w:val="30"/>
          <w:szCs w:val="30"/>
        </w:rPr>
        <w:t>；</w:t>
      </w:r>
      <w:r>
        <w:rPr>
          <w:rFonts w:hint="eastAsia" w:ascii="Times New Roman" w:hAnsi="Times New Roman" w:eastAsia="仿宋" w:cs="Times New Roman"/>
          <w:color w:val="auto"/>
          <w:sz w:val="30"/>
          <w:szCs w:val="30"/>
          <w:lang w:eastAsia="zh-CN"/>
        </w:rPr>
        <w:t>巴彦淖尔市</w:t>
      </w:r>
      <w:r>
        <w:rPr>
          <w:rFonts w:hint="eastAsia" w:ascii="Times New Roman" w:hAnsi="Times New Roman" w:eastAsia="仿宋" w:cs="Times New Roman"/>
          <w:color w:val="auto"/>
          <w:sz w:val="30"/>
          <w:szCs w:val="30"/>
        </w:rPr>
        <w:t>、鄂尔多斯市、锡林郭勒盟等地区</w:t>
      </w:r>
      <w:r>
        <w:rPr>
          <w:rFonts w:hint="eastAsia" w:ascii="Times New Roman" w:hAnsi="Times New Roman" w:eastAsia="仿宋" w:cs="Times New Roman"/>
          <w:color w:val="auto"/>
          <w:sz w:val="30"/>
          <w:szCs w:val="30"/>
          <w:lang w:eastAsia="zh-CN"/>
        </w:rPr>
        <w:t>要</w:t>
      </w:r>
      <w:r>
        <w:rPr>
          <w:rFonts w:hint="eastAsia" w:ascii="Times New Roman" w:hAnsi="Times New Roman" w:eastAsia="仿宋" w:cs="Times New Roman"/>
          <w:color w:val="auto"/>
          <w:sz w:val="30"/>
          <w:szCs w:val="30"/>
        </w:rPr>
        <w:t>加快微咸水、矿井水等综合利用工程建设。</w:t>
      </w:r>
    </w:p>
    <w:p>
      <w:pPr>
        <w:adjustRightInd w:val="0"/>
        <w:spacing w:line="360" w:lineRule="auto"/>
        <w:ind w:firstLine="602" w:firstLineChars="200"/>
        <w:contextualSpacing/>
        <w:rPr>
          <w:rFonts w:ascii="Times New Roman" w:hAnsi="Times New Roman" w:eastAsia="仿宋" w:cs="Times New Roman"/>
          <w:color w:val="auto"/>
          <w:sz w:val="30"/>
          <w:szCs w:val="30"/>
        </w:rPr>
      </w:pPr>
      <w:r>
        <w:rPr>
          <w:rFonts w:hint="eastAsia" w:ascii="仿宋" w:hAnsi="仿宋" w:eastAsia="仿宋" w:cs="仿宋"/>
          <w:b/>
          <w:bCs/>
          <w:color w:val="auto"/>
          <w:sz w:val="30"/>
          <w:szCs w:val="30"/>
        </w:rPr>
        <w:t>4、加强计量监测设施建设</w:t>
      </w:r>
      <w:r>
        <w:rPr>
          <w:rFonts w:hint="eastAsia" w:ascii="仿宋" w:hAnsi="仿宋" w:eastAsia="仿宋" w:cs="仿宋"/>
          <w:color w:val="auto"/>
          <w:sz w:val="30"/>
          <w:szCs w:val="30"/>
        </w:rPr>
        <w:t>。</w:t>
      </w:r>
      <w:r>
        <w:rPr>
          <w:rFonts w:hint="eastAsia" w:ascii="Times New Roman" w:hAnsi="Times New Roman" w:eastAsia="仿宋" w:cs="Times New Roman"/>
          <w:color w:val="auto"/>
          <w:sz w:val="30"/>
          <w:szCs w:val="30"/>
        </w:rPr>
        <w:t>加强取用水计量监测设施建设，提升自动化、信息化监测管理水平，提高用水节水监测计量率。完善农业用水计量设施，大中型地表水灌区取水口基本实现取用水监测，规模以上地下水农灌机电井基本实现“以电折水”。提升城镇用水计量水平，全面完成城镇居民“一户一表”改造，积极推广智能水表。对工业园区、规模以上工业企业用水情况进行全覆盖统计监测，重点取用水企业建立用水量在线采集、实时监测制度。到2025年，基本实现对大中型灌区取水口、工业园区和年用水量达到</w:t>
      </w:r>
      <w:r>
        <w:rPr>
          <w:rFonts w:hint="eastAsia" w:ascii="Times New Roman" w:hAnsi="Times New Roman" w:eastAsia="仿宋" w:cs="Times New Roman"/>
          <w:color w:val="auto"/>
          <w:sz w:val="30"/>
          <w:szCs w:val="30"/>
          <w:lang w:val="en-US" w:eastAsia="zh-CN"/>
        </w:rPr>
        <w:t>5</w:t>
      </w:r>
      <w:r>
        <w:rPr>
          <w:rFonts w:hint="eastAsia" w:ascii="Times New Roman" w:hAnsi="Times New Roman" w:eastAsia="仿宋" w:cs="Times New Roman"/>
          <w:color w:val="auto"/>
          <w:sz w:val="30"/>
          <w:szCs w:val="30"/>
        </w:rPr>
        <w:t>万立方米的地下水用水户、年用水量达到20万立方米的地表水用水户的取用水监测；基本实现对重要城镇、地下水水源地、地下水超采区的地下水取用水量监测。</w:t>
      </w:r>
    </w:p>
    <w:p>
      <w:pPr>
        <w:pStyle w:val="4"/>
        <w:keepNext w:val="0"/>
        <w:keepLines w:val="0"/>
        <w:spacing w:before="217" w:beforeLines="50" w:after="217" w:afterLines="50" w:line="360" w:lineRule="auto"/>
        <w:ind w:firstLine="642" w:firstLineChars="200"/>
        <w:contextualSpacing/>
        <w:rPr>
          <w:rFonts w:ascii="仿宋" w:hAnsi="仿宋" w:cs="仿宋"/>
          <w:color w:val="auto"/>
          <w:sz w:val="32"/>
        </w:rPr>
      </w:pPr>
      <w:bookmarkStart w:id="22" w:name="_Toc7619"/>
      <w:r>
        <w:rPr>
          <w:rFonts w:hint="eastAsia" w:ascii="仿宋" w:hAnsi="仿宋" w:cs="仿宋"/>
          <w:color w:val="auto"/>
          <w:sz w:val="32"/>
        </w:rPr>
        <w:t>（二）健全节水机制</w:t>
      </w:r>
      <w:bookmarkEnd w:id="22"/>
    </w:p>
    <w:p>
      <w:pPr>
        <w:adjustRightInd w:val="0"/>
        <w:spacing w:line="360" w:lineRule="auto"/>
        <w:ind w:firstLine="600" w:firstLineChars="200"/>
        <w:contextualSpacing/>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1、</w:t>
      </w:r>
      <w:r>
        <w:rPr>
          <w:rFonts w:hint="eastAsia" w:ascii="仿宋" w:hAnsi="仿宋" w:eastAsia="仿宋" w:cs="仿宋"/>
          <w:b/>
          <w:bCs/>
          <w:color w:val="auto"/>
          <w:sz w:val="30"/>
          <w:szCs w:val="30"/>
        </w:rPr>
        <w:t>深化水价改革</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充分发挥市场机制和价格杠杆在水资源节约保护方面的作用。</w:t>
      </w:r>
      <w:r>
        <w:rPr>
          <w:rFonts w:hint="eastAsia" w:ascii="仿宋" w:hAnsi="仿宋" w:eastAsia="仿宋" w:cs="仿宋"/>
          <w:color w:val="auto"/>
          <w:sz w:val="30"/>
          <w:szCs w:val="30"/>
        </w:rPr>
        <w:t>深入推进农业水价综合改革，稳步扩大改革范围，建立健全农业水价形成机制、精准补贴和节水奖励机制、工程建设和管护机制、用水管理机制等。合理制定农业水价，逐步实现水价不低于工程运行维护成本。</w:t>
      </w:r>
      <w:r>
        <w:rPr>
          <w:rFonts w:hint="eastAsia" w:ascii="Times New Roman" w:hAnsi="Times New Roman" w:eastAsia="仿宋" w:cs="Times New Roman"/>
          <w:color w:val="auto"/>
          <w:sz w:val="30"/>
          <w:szCs w:val="30"/>
        </w:rPr>
        <w:t>全面推行城镇居民用水阶梯水价制度和非居民用水超定额（计划）累进加价制度。健全再生水利用价格政策，提高再生水价格优势，促进再生水资源化利用。完善污水处理费征收的实施办法，建立企业污水排放差别化收费机制。</w:t>
      </w:r>
    </w:p>
    <w:p>
      <w:pPr>
        <w:adjustRightInd w:val="0"/>
        <w:spacing w:line="360" w:lineRule="auto"/>
        <w:ind w:firstLine="602" w:firstLineChars="200"/>
        <w:contextualSpacing/>
        <w:rPr>
          <w:rFonts w:ascii="Times New Roman" w:hAnsi="Times New Roman" w:eastAsia="仿宋" w:cs="Times New Roman"/>
          <w:color w:val="auto"/>
          <w:sz w:val="30"/>
          <w:szCs w:val="30"/>
        </w:rPr>
      </w:pPr>
      <w:r>
        <w:rPr>
          <w:rFonts w:hint="eastAsia" w:ascii="仿宋" w:hAnsi="仿宋" w:eastAsia="仿宋" w:cs="仿宋"/>
          <w:b/>
          <w:bCs/>
          <w:color w:val="auto"/>
          <w:sz w:val="30"/>
          <w:szCs w:val="30"/>
        </w:rPr>
        <w:t>2、推动水资源税改革</w:t>
      </w:r>
      <w:r>
        <w:rPr>
          <w:rFonts w:hint="eastAsia" w:ascii="仿宋" w:hAnsi="仿宋" w:eastAsia="仿宋" w:cs="仿宋"/>
          <w:color w:val="auto"/>
          <w:sz w:val="30"/>
          <w:szCs w:val="30"/>
        </w:rPr>
        <w:t>。</w:t>
      </w:r>
      <w:r>
        <w:rPr>
          <w:rFonts w:hint="eastAsia" w:ascii="Times New Roman" w:hAnsi="Times New Roman" w:eastAsia="仿宋" w:cs="Times New Roman"/>
          <w:color w:val="auto"/>
          <w:sz w:val="30"/>
          <w:szCs w:val="30"/>
        </w:rPr>
        <w:t>与水价改革协同推进，探索建立合理的水资源税制度体系。完善节约用水财税政策，水资源税收优先用于水资源节约、保护与管理。征收水资源税，落实水资源税征收优惠政策，对超定额（计划）用水累进加倍征税，在集中供水覆盖范围内和地下水超采区取用地下水以及高耗水特种行业取用水，按照高标准征税；对在规定限额内的农业用水、利用再生水等非常规水源的工业用水等情况减免征收水资源税。</w:t>
      </w:r>
    </w:p>
    <w:p>
      <w:pPr>
        <w:adjustRightInd w:val="0"/>
        <w:spacing w:line="360" w:lineRule="auto"/>
        <w:ind w:firstLine="602" w:firstLineChars="200"/>
        <w:contextualSpacing/>
        <w:rPr>
          <w:rFonts w:ascii="Times New Roman" w:hAnsi="Times New Roman" w:eastAsia="仿宋" w:cs="Times New Roman"/>
          <w:color w:val="auto"/>
          <w:sz w:val="30"/>
          <w:szCs w:val="30"/>
        </w:rPr>
      </w:pPr>
      <w:r>
        <w:rPr>
          <w:rFonts w:hint="eastAsia" w:ascii="仿宋" w:hAnsi="仿宋" w:eastAsia="仿宋" w:cs="仿宋"/>
          <w:b/>
          <w:bCs/>
          <w:color w:val="auto"/>
          <w:sz w:val="30"/>
          <w:szCs w:val="30"/>
        </w:rPr>
        <w:t>3、推进水权水市场改革</w:t>
      </w:r>
      <w:r>
        <w:rPr>
          <w:rFonts w:hint="eastAsia" w:ascii="仿宋" w:hAnsi="仿宋" w:eastAsia="仿宋" w:cs="仿宋"/>
          <w:color w:val="auto"/>
          <w:sz w:val="30"/>
          <w:szCs w:val="30"/>
        </w:rPr>
        <w:t>。</w:t>
      </w:r>
      <w:r>
        <w:rPr>
          <w:rFonts w:hint="eastAsia" w:ascii="Times New Roman" w:hAnsi="Times New Roman" w:eastAsia="仿宋" w:cs="Times New Roman"/>
          <w:color w:val="auto"/>
          <w:sz w:val="30"/>
          <w:szCs w:val="30"/>
        </w:rPr>
        <w:t>加快明晰区域和取用水户初始水权，稳步推进水权确权登记，健全水权初始分配制度和水权交易制度，同时探索开展多种形式的水权交易。明确行政区域取用水权益，科学核定取用水户许可水量。进一步巩固并扩大水权水市场建设成果，促进水权规范流转，加大合同节水、城市公共供水管网范围内用水指标、农业高效节水项目水权交易力度。创新水权交易模式，探索将节水改造和合同节水取得的节水量纳入水权交易。</w:t>
      </w:r>
    </w:p>
    <w:p>
      <w:pPr>
        <w:adjustRightInd w:val="0"/>
        <w:spacing w:line="360" w:lineRule="auto"/>
        <w:ind w:firstLine="602" w:firstLineChars="200"/>
        <w:contextualSpacing/>
        <w:rPr>
          <w:color w:val="auto"/>
        </w:rPr>
      </w:pPr>
      <w:r>
        <w:rPr>
          <w:rFonts w:hint="eastAsia" w:ascii="仿宋" w:hAnsi="仿宋" w:eastAsia="仿宋" w:cs="仿宋"/>
          <w:b/>
          <w:bCs/>
          <w:color w:val="auto"/>
          <w:sz w:val="30"/>
          <w:szCs w:val="30"/>
        </w:rPr>
        <w:t>4、推行水效标识建设</w:t>
      </w:r>
      <w:r>
        <w:rPr>
          <w:rFonts w:hint="eastAsia" w:ascii="仿宋" w:hAnsi="仿宋" w:eastAsia="仿宋" w:cs="仿宋"/>
          <w:color w:val="auto"/>
          <w:sz w:val="30"/>
          <w:szCs w:val="30"/>
        </w:rPr>
        <w:t>。</w:t>
      </w:r>
      <w:r>
        <w:rPr>
          <w:rFonts w:hint="eastAsia" w:ascii="Times New Roman" w:hAnsi="Times New Roman" w:eastAsia="仿宋" w:cs="Times New Roman"/>
          <w:color w:val="auto"/>
          <w:sz w:val="30"/>
          <w:szCs w:val="30"/>
        </w:rPr>
        <w:t>贯彻落实《水效标识管理办法》，积极指导消费者选择水效更高的产品，鼓励生产者改善产品的节水特性。强化市场监督管理，加大专项检查抽查力度，逐步淘汰水效等级较低产品。推动开展水效领跑者行动，制定水效领跑者指标，树立节水先进标杆，发布水效领跑者名单，鼓励开展水效对标达标活动。持续推动节水认证工作，促进节水产品认证逐步向绿色产品认证过渡，完善相关认证结果采信机制。</w:t>
      </w:r>
    </w:p>
    <w:p>
      <w:pPr>
        <w:pStyle w:val="4"/>
        <w:keepNext w:val="0"/>
        <w:keepLines w:val="0"/>
        <w:spacing w:before="217" w:beforeLines="50" w:after="217" w:afterLines="50" w:line="360" w:lineRule="auto"/>
        <w:ind w:firstLine="642" w:firstLineChars="200"/>
        <w:contextualSpacing/>
        <w:rPr>
          <w:rFonts w:ascii="仿宋" w:hAnsi="仿宋" w:cs="仿宋"/>
          <w:color w:val="auto"/>
          <w:sz w:val="32"/>
        </w:rPr>
      </w:pPr>
      <w:bookmarkStart w:id="23" w:name="_Toc30631"/>
      <w:r>
        <w:rPr>
          <w:rFonts w:hint="eastAsia" w:ascii="仿宋" w:hAnsi="仿宋" w:cs="仿宋"/>
          <w:color w:val="auto"/>
          <w:sz w:val="32"/>
        </w:rPr>
        <w:t>（三）提升节水意识</w:t>
      </w:r>
    </w:p>
    <w:p>
      <w:pPr>
        <w:keepNext w:val="0"/>
        <w:keepLines w:val="0"/>
        <w:pageBreakBefore w:val="0"/>
        <w:widowControl w:val="0"/>
        <w:kinsoku/>
        <w:wordWrap/>
        <w:overflowPunct/>
        <w:topLinePunct w:val="0"/>
        <w:autoSpaceDE/>
        <w:autoSpaceDN/>
        <w:bidi w:val="0"/>
        <w:adjustRightInd w:val="0"/>
        <w:snapToGrid/>
        <w:spacing w:line="360" w:lineRule="auto"/>
        <w:ind w:firstLine="602" w:firstLineChars="200"/>
        <w:contextualSpacing/>
        <w:textAlignment w:val="auto"/>
        <w:rPr>
          <w:rFonts w:hint="eastAsia" w:ascii="Times New Roman" w:hAnsi="Times New Roman" w:eastAsia="仿宋" w:cs="Times New Roman"/>
          <w:color w:val="auto"/>
          <w:sz w:val="30"/>
          <w:szCs w:val="30"/>
        </w:rPr>
      </w:pPr>
      <w:r>
        <w:rPr>
          <w:rFonts w:hint="eastAsia" w:ascii="仿宋" w:hAnsi="仿宋" w:eastAsia="仿宋" w:cs="仿宋"/>
          <w:b/>
          <w:bCs/>
          <w:color w:val="auto"/>
          <w:sz w:val="30"/>
          <w:szCs w:val="30"/>
        </w:rPr>
        <w:t>1、推进节水载体建设</w:t>
      </w:r>
      <w:r>
        <w:rPr>
          <w:rFonts w:hint="eastAsia" w:ascii="仿宋" w:hAnsi="仿宋" w:eastAsia="仿宋" w:cs="仿宋"/>
          <w:color w:val="auto"/>
          <w:sz w:val="30"/>
          <w:szCs w:val="30"/>
        </w:rPr>
        <w:t>。</w:t>
      </w:r>
      <w:r>
        <w:rPr>
          <w:rFonts w:hint="eastAsia" w:ascii="Times New Roman" w:hAnsi="Times New Roman" w:eastAsia="仿宋" w:cs="Times New Roman"/>
          <w:color w:val="auto"/>
          <w:sz w:val="30"/>
          <w:szCs w:val="30"/>
        </w:rPr>
        <w:t>持续推动县域节水型社会达标建设，到2025年，全区60%以上旗县（市、区）级行政区达到节水型社会标准。以节水载体建设为抓手，开展创建节水型机关、绿色家庭、绿色学校、绿色社区等行动。深入推进节水型灌区、企业、机关、小区、高校建设，示范带动农业、工业、服务业、生活、教育领域节水。</w:t>
      </w:r>
    </w:p>
    <w:p>
      <w:pPr>
        <w:keepNext w:val="0"/>
        <w:keepLines w:val="0"/>
        <w:pageBreakBefore w:val="0"/>
        <w:widowControl w:val="0"/>
        <w:kinsoku/>
        <w:wordWrap/>
        <w:overflowPunct/>
        <w:topLinePunct w:val="0"/>
        <w:autoSpaceDE/>
        <w:autoSpaceDN/>
        <w:bidi w:val="0"/>
        <w:adjustRightInd w:val="0"/>
        <w:snapToGrid/>
        <w:spacing w:line="360" w:lineRule="auto"/>
        <w:ind w:firstLine="602" w:firstLineChars="200"/>
        <w:contextualSpacing/>
        <w:textAlignment w:val="auto"/>
        <w:rPr>
          <w:rFonts w:hint="eastAsia" w:ascii="Times New Roman" w:hAnsi="Times New Roman" w:eastAsia="仿宋" w:cs="Times New Roman"/>
          <w:color w:val="auto"/>
          <w:sz w:val="30"/>
          <w:szCs w:val="30"/>
        </w:rPr>
      </w:pPr>
      <w:r>
        <w:rPr>
          <w:rFonts w:hint="eastAsia" w:ascii="仿宋" w:hAnsi="仿宋" w:eastAsia="仿宋" w:cs="仿宋"/>
          <w:b/>
          <w:bCs/>
          <w:color w:val="auto"/>
          <w:sz w:val="30"/>
          <w:szCs w:val="30"/>
        </w:rPr>
        <w:t>2、加大宣传教育</w:t>
      </w:r>
      <w:r>
        <w:rPr>
          <w:rFonts w:hint="eastAsia" w:ascii="仿宋" w:hAnsi="仿宋" w:eastAsia="仿宋" w:cs="仿宋"/>
          <w:color w:val="auto"/>
          <w:sz w:val="30"/>
          <w:szCs w:val="30"/>
        </w:rPr>
        <w:t>。</w:t>
      </w:r>
      <w:r>
        <w:rPr>
          <w:rFonts w:hint="eastAsia" w:ascii="Times New Roman" w:hAnsi="Times New Roman" w:eastAsia="仿宋" w:cs="Times New Roman"/>
          <w:color w:val="auto"/>
          <w:sz w:val="30"/>
          <w:szCs w:val="30"/>
        </w:rPr>
        <w:t>创新节水宣传形式，加大节水宣传力度，开展世界水日、中国水周等形式多样的主题宣传活动，充分发挥各类媒体宣传作用，搭建节水互动平台，向全民普及节水知识，倡导节约用水理念，促进全社会用水观念转变，引领全民形成节水良好风尚。</w:t>
      </w:r>
    </w:p>
    <w:p>
      <w:pPr>
        <w:pStyle w:val="4"/>
        <w:keepNext w:val="0"/>
        <w:keepLines w:val="0"/>
        <w:spacing w:before="217" w:beforeLines="50" w:after="217" w:afterLines="50" w:line="360" w:lineRule="auto"/>
        <w:ind w:firstLine="642" w:firstLineChars="200"/>
        <w:contextualSpacing/>
        <w:rPr>
          <w:rFonts w:ascii="仿宋" w:hAnsi="仿宋" w:cs="仿宋"/>
          <w:color w:val="auto"/>
          <w:sz w:val="32"/>
        </w:rPr>
      </w:pPr>
      <w:r>
        <w:rPr>
          <w:rFonts w:hint="eastAsia" w:ascii="仿宋" w:hAnsi="仿宋" w:cs="仿宋"/>
          <w:color w:val="auto"/>
          <w:sz w:val="32"/>
        </w:rPr>
        <w:t>（四）</w:t>
      </w:r>
      <w:bookmarkStart w:id="24" w:name="_Toc26363"/>
      <w:r>
        <w:rPr>
          <w:rFonts w:hint="eastAsia" w:ascii="仿宋" w:hAnsi="仿宋" w:cs="仿宋"/>
          <w:color w:val="auto"/>
          <w:sz w:val="32"/>
        </w:rPr>
        <w:t>强化科技支撑</w:t>
      </w:r>
      <w:bookmarkEnd w:id="24"/>
    </w:p>
    <w:p>
      <w:pPr>
        <w:adjustRightInd w:val="0"/>
        <w:spacing w:line="360" w:lineRule="auto"/>
        <w:ind w:firstLine="602" w:firstLineChars="200"/>
        <w:contextualSpacing/>
        <w:rPr>
          <w:rFonts w:ascii="Times New Roman" w:hAnsi="Times New Roman" w:eastAsia="仿宋" w:cs="Times New Roman"/>
          <w:color w:val="auto"/>
          <w:sz w:val="30"/>
          <w:szCs w:val="30"/>
        </w:rPr>
      </w:pPr>
      <w:r>
        <w:rPr>
          <w:rFonts w:hint="eastAsia" w:ascii="仿宋" w:hAnsi="仿宋" w:eastAsia="仿宋" w:cs="仿宋"/>
          <w:b/>
          <w:bCs/>
          <w:color w:val="auto"/>
          <w:sz w:val="30"/>
          <w:szCs w:val="30"/>
        </w:rPr>
        <w:t>1、加强实用科技研发</w:t>
      </w:r>
      <w:r>
        <w:rPr>
          <w:rFonts w:hint="eastAsia" w:ascii="仿宋" w:hAnsi="仿宋" w:eastAsia="仿宋" w:cs="仿宋"/>
          <w:color w:val="auto"/>
          <w:sz w:val="30"/>
          <w:szCs w:val="30"/>
        </w:rPr>
        <w:t>。</w:t>
      </w:r>
      <w:r>
        <w:rPr>
          <w:rFonts w:hint="eastAsia" w:ascii="Times New Roman" w:hAnsi="Times New Roman" w:eastAsia="仿宋" w:cs="Times New Roman"/>
          <w:color w:val="auto"/>
          <w:sz w:val="30"/>
          <w:szCs w:val="30"/>
        </w:rPr>
        <w:t>围绕用水精准计量、水资源高效循环利用、节水灌溉控制、管网漏损监测智能化、管网运行维护数字化、污水资源化利用等领域，开展适用节水技术及装备研发。</w:t>
      </w:r>
    </w:p>
    <w:p>
      <w:pPr>
        <w:adjustRightInd w:val="0"/>
        <w:spacing w:line="360" w:lineRule="auto"/>
        <w:ind w:firstLine="602" w:firstLineChars="200"/>
        <w:contextualSpacing/>
        <w:rPr>
          <w:rFonts w:ascii="Times New Roman" w:hAnsi="Times New Roman" w:eastAsia="仿宋" w:cs="Times New Roman"/>
          <w:color w:val="auto"/>
          <w:sz w:val="30"/>
          <w:szCs w:val="30"/>
        </w:rPr>
      </w:pPr>
      <w:r>
        <w:rPr>
          <w:rFonts w:hint="eastAsia" w:ascii="仿宋" w:hAnsi="仿宋" w:eastAsia="仿宋" w:cs="仿宋"/>
          <w:b/>
          <w:bCs/>
          <w:color w:val="auto"/>
          <w:sz w:val="30"/>
          <w:szCs w:val="30"/>
        </w:rPr>
        <w:t>2、加大推广力度</w:t>
      </w:r>
      <w:r>
        <w:rPr>
          <w:rFonts w:hint="eastAsia" w:ascii="仿宋" w:hAnsi="仿宋" w:eastAsia="仿宋" w:cs="仿宋"/>
          <w:color w:val="auto"/>
          <w:sz w:val="30"/>
          <w:szCs w:val="30"/>
        </w:rPr>
        <w:t>。</w:t>
      </w:r>
      <w:r>
        <w:rPr>
          <w:rFonts w:hint="eastAsia" w:ascii="Times New Roman" w:hAnsi="Times New Roman" w:eastAsia="仿宋" w:cs="Times New Roman"/>
          <w:color w:val="auto"/>
          <w:sz w:val="30"/>
          <w:szCs w:val="30"/>
        </w:rPr>
        <w:t>建立“政产学研用”深度融合的节水技术创新体系，加快节水科技成果转化。加大先进适用节水技术、工艺、和装备推广力度。</w:t>
      </w:r>
    </w:p>
    <w:bookmarkEnd w:id="23"/>
    <w:p>
      <w:pPr>
        <w:pStyle w:val="4"/>
        <w:keepNext w:val="0"/>
        <w:keepLines w:val="0"/>
        <w:pageBreakBefore w:val="0"/>
        <w:widowControl w:val="0"/>
        <w:kinsoku/>
        <w:wordWrap/>
        <w:overflowPunct/>
        <w:topLinePunct w:val="0"/>
        <w:autoSpaceDE/>
        <w:autoSpaceDN/>
        <w:bidi w:val="0"/>
        <w:snapToGrid/>
        <w:spacing w:before="217" w:beforeLines="50" w:after="217" w:afterLines="50" w:line="360" w:lineRule="auto"/>
        <w:ind w:firstLine="640" w:firstLineChars="200"/>
        <w:contextualSpacing/>
        <w:textAlignment w:val="auto"/>
        <w:rPr>
          <w:rFonts w:ascii="黑体" w:hAnsi="黑体" w:eastAsia="黑体" w:cs="Times New Roman"/>
          <w:b w:val="0"/>
          <w:bCs w:val="0"/>
          <w:color w:val="auto"/>
          <w:sz w:val="32"/>
        </w:rPr>
      </w:pPr>
      <w:bookmarkStart w:id="25" w:name="_Toc12631"/>
      <w:r>
        <w:rPr>
          <w:rFonts w:hint="eastAsia" w:ascii="黑体" w:hAnsi="黑体" w:eastAsia="黑体" w:cs="Times New Roman"/>
          <w:b w:val="0"/>
          <w:bCs w:val="0"/>
          <w:color w:val="auto"/>
          <w:sz w:val="32"/>
          <w:lang w:eastAsia="zh-CN"/>
        </w:rPr>
        <w:t>四</w:t>
      </w:r>
      <w:r>
        <w:rPr>
          <w:rFonts w:hint="eastAsia" w:ascii="黑体" w:hAnsi="黑体" w:eastAsia="黑体" w:cs="Times New Roman"/>
          <w:b w:val="0"/>
          <w:bCs w:val="0"/>
          <w:color w:val="auto"/>
          <w:sz w:val="32"/>
        </w:rPr>
        <w:t>、</w:t>
      </w:r>
      <w:r>
        <w:rPr>
          <w:rFonts w:hint="eastAsia" w:ascii="黑体" w:hAnsi="黑体" w:eastAsia="黑体" w:cs="Times New Roman"/>
          <w:b w:val="0"/>
          <w:bCs w:val="0"/>
          <w:color w:val="auto"/>
          <w:sz w:val="32"/>
          <w:lang w:eastAsia="zh-CN"/>
        </w:rPr>
        <w:t>各</w:t>
      </w:r>
      <w:r>
        <w:rPr>
          <w:rFonts w:hint="eastAsia" w:ascii="黑体" w:hAnsi="黑体" w:eastAsia="黑体" w:cs="Times New Roman"/>
          <w:b w:val="0"/>
          <w:bCs w:val="0"/>
          <w:color w:val="auto"/>
          <w:sz w:val="32"/>
        </w:rPr>
        <w:t>领域节水措施</w:t>
      </w:r>
      <w:bookmarkEnd w:id="25"/>
    </w:p>
    <w:p>
      <w:pPr>
        <w:keepNext w:val="0"/>
        <w:keepLines w:val="0"/>
        <w:pageBreakBefore w:val="0"/>
        <w:widowControl w:val="0"/>
        <w:kinsoku/>
        <w:wordWrap/>
        <w:overflowPunct/>
        <w:topLinePunct w:val="0"/>
        <w:autoSpaceDE/>
        <w:autoSpaceDN/>
        <w:bidi w:val="0"/>
        <w:adjustRightInd w:val="0"/>
        <w:snapToGrid/>
        <w:spacing w:line="360" w:lineRule="auto"/>
        <w:ind w:firstLine="600" w:firstLineChars="200"/>
        <w:contextualSpacing/>
        <w:textAlignment w:val="auto"/>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深入实施节水行动，聚焦农业和农村节水增效、工业节水减排降污、城镇节水降损减耗、非常规水源利用等重点领域，全面推进节水型社会建设。</w:t>
      </w:r>
    </w:p>
    <w:p>
      <w:pPr>
        <w:pStyle w:val="4"/>
        <w:keepNext w:val="0"/>
        <w:keepLines w:val="0"/>
        <w:pageBreakBefore w:val="0"/>
        <w:widowControl w:val="0"/>
        <w:kinsoku/>
        <w:wordWrap/>
        <w:overflowPunct/>
        <w:topLinePunct w:val="0"/>
        <w:autoSpaceDE/>
        <w:autoSpaceDN/>
        <w:bidi w:val="0"/>
        <w:snapToGrid/>
        <w:spacing w:before="217" w:beforeLines="50" w:after="217" w:afterLines="50" w:line="360" w:lineRule="auto"/>
        <w:ind w:firstLine="642" w:firstLineChars="200"/>
        <w:contextualSpacing/>
        <w:textAlignment w:val="auto"/>
        <w:rPr>
          <w:rFonts w:ascii="仿宋" w:hAnsi="仿宋" w:cs="仿宋"/>
          <w:color w:val="auto"/>
          <w:sz w:val="32"/>
        </w:rPr>
      </w:pPr>
      <w:bookmarkStart w:id="26" w:name="_Toc28446"/>
      <w:r>
        <w:rPr>
          <w:rFonts w:hint="eastAsia" w:ascii="仿宋" w:hAnsi="仿宋" w:cs="仿宋"/>
          <w:color w:val="auto"/>
          <w:sz w:val="32"/>
        </w:rPr>
        <w:t>（一）农牧业和农村节水</w:t>
      </w:r>
      <w:bookmarkEnd w:id="26"/>
    </w:p>
    <w:p>
      <w:pPr>
        <w:keepNext w:val="0"/>
        <w:keepLines w:val="0"/>
        <w:pageBreakBefore w:val="0"/>
        <w:widowControl w:val="0"/>
        <w:kinsoku/>
        <w:wordWrap/>
        <w:overflowPunct/>
        <w:topLinePunct w:val="0"/>
        <w:autoSpaceDE/>
        <w:autoSpaceDN/>
        <w:bidi w:val="0"/>
        <w:adjustRightInd w:val="0"/>
        <w:snapToGrid/>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lang w:val="en-US" w:eastAsia="zh-CN"/>
        </w:rPr>
        <w:t>1</w:t>
      </w:r>
      <w:r>
        <w:rPr>
          <w:rFonts w:hint="eastAsia" w:ascii="Times New Roman" w:hAnsi="Times New Roman" w:eastAsia="仿宋" w:cs="Times New Roman"/>
          <w:b/>
          <w:bCs/>
          <w:color w:val="auto"/>
          <w:sz w:val="30"/>
          <w:szCs w:val="30"/>
        </w:rPr>
        <w:t>、大力推进节水灌溉</w:t>
      </w:r>
    </w:p>
    <w:p>
      <w:pPr>
        <w:keepNext w:val="0"/>
        <w:keepLines w:val="0"/>
        <w:pageBreakBefore w:val="0"/>
        <w:widowControl w:val="0"/>
        <w:kinsoku/>
        <w:wordWrap/>
        <w:overflowPunct/>
        <w:topLinePunct w:val="0"/>
        <w:autoSpaceDE/>
        <w:autoSpaceDN/>
        <w:bidi w:val="0"/>
        <w:adjustRightInd w:val="0"/>
        <w:snapToGrid/>
        <w:spacing w:line="360" w:lineRule="auto"/>
        <w:ind w:firstLine="600" w:firstLineChars="200"/>
        <w:contextualSpacing/>
        <w:textAlignment w:val="auto"/>
        <w:rPr>
          <w:rFonts w:hint="eastAsia" w:ascii="Times New Roman" w:hAnsi="Times New Roman" w:eastAsia="仿宋" w:cs="Times New Roman"/>
          <w:color w:val="auto"/>
          <w:sz w:val="30"/>
          <w:szCs w:val="30"/>
          <w:lang w:eastAsia="zh-CN"/>
        </w:rPr>
      </w:pPr>
      <w:r>
        <w:rPr>
          <w:rFonts w:hint="eastAsia" w:ascii="Times New Roman" w:hAnsi="Times New Roman" w:eastAsia="仿宋" w:cs="Times New Roman"/>
          <w:color w:val="auto"/>
          <w:sz w:val="30"/>
          <w:szCs w:val="30"/>
        </w:rPr>
        <w:t>加快大中型灌区续建配套和现代化改造，提档升级骨干灌排设施。</w:t>
      </w:r>
      <w:r>
        <w:rPr>
          <w:rFonts w:hint="eastAsia" w:ascii="Times New Roman" w:hAnsi="Times New Roman" w:eastAsia="仿宋" w:cs="Times New Roman"/>
          <w:color w:val="auto"/>
          <w:sz w:val="30"/>
          <w:szCs w:val="30"/>
          <w:lang w:eastAsia="zh-CN"/>
        </w:rPr>
        <w:t>加快完成尼尔基水利枢纽下游内蒙古灌区、绰勒水利枢纽下游内蒙古灌区续建配套及现代化改造建设，继续推进察尔森水库下游灌区、</w:t>
      </w:r>
      <w:r>
        <w:rPr>
          <w:rFonts w:hint="eastAsia" w:ascii="Times New Roman" w:hAnsi="Times New Roman" w:eastAsia="仿宋" w:cs="Times New Roman"/>
          <w:color w:val="auto"/>
          <w:sz w:val="30"/>
          <w:szCs w:val="30"/>
        </w:rPr>
        <w:t>河套灌区、</w:t>
      </w:r>
      <w:r>
        <w:rPr>
          <w:rFonts w:hint="eastAsia" w:ascii="Times New Roman" w:hAnsi="Times New Roman" w:eastAsia="仿宋" w:cs="Times New Roman"/>
          <w:color w:val="auto"/>
          <w:sz w:val="30"/>
          <w:szCs w:val="30"/>
          <w:lang w:eastAsia="zh-CN"/>
        </w:rPr>
        <w:t>磴口扬水</w:t>
      </w:r>
      <w:r>
        <w:rPr>
          <w:rFonts w:hint="eastAsia" w:ascii="Times New Roman" w:hAnsi="Times New Roman" w:eastAsia="仿宋" w:cs="Times New Roman"/>
          <w:color w:val="auto"/>
          <w:sz w:val="30"/>
          <w:szCs w:val="30"/>
        </w:rPr>
        <w:t>灌区</w:t>
      </w:r>
      <w:r>
        <w:rPr>
          <w:rFonts w:hint="eastAsia" w:ascii="Times New Roman" w:hAnsi="Times New Roman" w:eastAsia="仿宋" w:cs="Times New Roman"/>
          <w:color w:val="auto"/>
          <w:sz w:val="30"/>
          <w:szCs w:val="30"/>
          <w:lang w:eastAsia="zh-CN"/>
        </w:rPr>
        <w:t>续建配套及现代化改造。</w:t>
      </w:r>
      <w:r>
        <w:rPr>
          <w:rFonts w:hint="eastAsia" w:ascii="Times New Roman" w:hAnsi="Times New Roman" w:eastAsia="仿宋" w:cs="Times New Roman"/>
          <w:color w:val="auto"/>
          <w:sz w:val="30"/>
          <w:szCs w:val="30"/>
          <w:lang w:val="en-US" w:eastAsia="zh-CN"/>
        </w:rPr>
        <w:t>结合灌区建设，</w:t>
      </w:r>
      <w:r>
        <w:rPr>
          <w:rFonts w:hint="eastAsia" w:ascii="Times New Roman" w:hAnsi="Times New Roman" w:eastAsia="仿宋" w:cs="Times New Roman"/>
          <w:color w:val="auto"/>
          <w:sz w:val="30"/>
          <w:szCs w:val="30"/>
        </w:rPr>
        <w:t>同步实施高效节水灌溉与高标准农田建设，加大田间节水设施建设力度，推广喷灌、微灌、滴灌、水肥一体化等高效节水灌溉技术</w:t>
      </w:r>
      <w:r>
        <w:rPr>
          <w:rFonts w:hint="eastAsia" w:ascii="Times New Roman" w:hAnsi="Times New Roman" w:eastAsia="仿宋" w:cs="Times New Roman"/>
          <w:color w:val="auto"/>
          <w:sz w:val="30"/>
          <w:szCs w:val="30"/>
          <w:lang w:eastAsia="zh-CN"/>
        </w:rPr>
        <w:t>，</w:t>
      </w:r>
      <w:r>
        <w:rPr>
          <w:rFonts w:hint="eastAsia" w:ascii="Times New Roman" w:hAnsi="Times New Roman" w:eastAsia="仿宋" w:cs="Times New Roman"/>
          <w:color w:val="auto"/>
          <w:sz w:val="30"/>
          <w:szCs w:val="30"/>
          <w:lang w:val="en-US" w:eastAsia="zh-CN"/>
        </w:rPr>
        <w:t>加强高效节水技术的综合集成与示范，</w:t>
      </w:r>
      <w:r>
        <w:rPr>
          <w:rFonts w:hint="eastAsia" w:ascii="Times New Roman" w:hAnsi="Times New Roman" w:eastAsia="仿宋" w:cs="Times New Roman"/>
          <w:color w:val="auto"/>
          <w:sz w:val="30"/>
          <w:szCs w:val="30"/>
          <w:lang w:eastAsia="zh-CN"/>
        </w:rPr>
        <w:t>创建一批节水型灌区和节水农业示范区。</w:t>
      </w:r>
    </w:p>
    <w:p>
      <w:pPr>
        <w:keepNext w:val="0"/>
        <w:keepLines w:val="0"/>
        <w:pageBreakBefore w:val="0"/>
        <w:widowControl w:val="0"/>
        <w:kinsoku/>
        <w:wordWrap/>
        <w:overflowPunct/>
        <w:topLinePunct w:val="0"/>
        <w:autoSpaceDE/>
        <w:autoSpaceDN/>
        <w:bidi w:val="0"/>
        <w:adjustRightInd w:val="0"/>
        <w:snapToGrid/>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lang w:val="en-US" w:eastAsia="zh-CN"/>
        </w:rPr>
        <w:t>2</w:t>
      </w:r>
      <w:r>
        <w:rPr>
          <w:rFonts w:hint="eastAsia" w:ascii="Times New Roman" w:hAnsi="Times New Roman" w:eastAsia="仿宋" w:cs="Times New Roman"/>
          <w:b/>
          <w:bCs/>
          <w:color w:val="auto"/>
          <w:sz w:val="30"/>
          <w:szCs w:val="30"/>
        </w:rPr>
        <w:t>、</w:t>
      </w:r>
      <w:r>
        <w:rPr>
          <w:rFonts w:hint="eastAsia" w:ascii="Times New Roman" w:hAnsi="Times New Roman" w:eastAsia="仿宋" w:cs="Times New Roman"/>
          <w:b/>
          <w:bCs/>
          <w:color w:val="auto"/>
          <w:sz w:val="30"/>
          <w:szCs w:val="30"/>
          <w:lang w:eastAsia="zh-CN"/>
        </w:rPr>
        <w:t>优化</w:t>
      </w:r>
      <w:r>
        <w:rPr>
          <w:rFonts w:hint="eastAsia" w:ascii="Times New Roman" w:hAnsi="Times New Roman" w:eastAsia="仿宋" w:cs="Times New Roman"/>
          <w:b/>
          <w:bCs/>
          <w:color w:val="auto"/>
          <w:sz w:val="30"/>
          <w:szCs w:val="30"/>
        </w:rPr>
        <w:t>农业</w:t>
      </w:r>
      <w:r>
        <w:rPr>
          <w:rFonts w:hint="eastAsia" w:ascii="Times New Roman" w:hAnsi="Times New Roman" w:eastAsia="仿宋" w:cs="Times New Roman"/>
          <w:b/>
          <w:bCs/>
          <w:color w:val="auto"/>
          <w:sz w:val="30"/>
          <w:szCs w:val="30"/>
          <w:lang w:eastAsia="zh-CN"/>
        </w:rPr>
        <w:t>种植</w:t>
      </w:r>
      <w:r>
        <w:rPr>
          <w:rFonts w:hint="eastAsia" w:ascii="Times New Roman" w:hAnsi="Times New Roman" w:eastAsia="仿宋" w:cs="Times New Roman"/>
          <w:b/>
          <w:bCs/>
          <w:color w:val="auto"/>
          <w:sz w:val="30"/>
          <w:szCs w:val="30"/>
        </w:rPr>
        <w:t>结构</w:t>
      </w:r>
    </w:p>
    <w:p>
      <w:pPr>
        <w:adjustRightInd w:val="0"/>
        <w:spacing w:line="360" w:lineRule="auto"/>
        <w:ind w:firstLine="600" w:firstLineChars="200"/>
        <w:contextualSpacing/>
        <w:rPr>
          <w:rFonts w:hint="eastAsia"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将优化粮食品种结构作为结构调整的优先方向，鼓励农民扩大低耗水、高产值作物种植面积，适度压减高耗水作物种植面积，选育推广耐旱农作物新品种，形成一批特色现代农业产业园。</w:t>
      </w:r>
    </w:p>
    <w:p>
      <w:pPr>
        <w:adjustRightInd w:val="0"/>
        <w:spacing w:line="360" w:lineRule="auto"/>
        <w:ind w:firstLine="600" w:firstLineChars="200"/>
        <w:contextualSpacing/>
        <w:rPr>
          <w:rFonts w:hint="eastAsia"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水资源供需紧张的</w:t>
      </w:r>
      <w:r>
        <w:rPr>
          <w:rFonts w:hint="eastAsia" w:ascii="Times New Roman" w:hAnsi="Times New Roman" w:eastAsia="仿宋" w:cs="Times New Roman"/>
          <w:color w:val="auto"/>
          <w:sz w:val="30"/>
          <w:szCs w:val="30"/>
          <w:lang w:val="en-US" w:eastAsia="zh-CN"/>
        </w:rPr>
        <w:t>黄河、海河、西北诸河流域，</w:t>
      </w:r>
      <w:r>
        <w:rPr>
          <w:rFonts w:hint="eastAsia" w:ascii="Times New Roman" w:hAnsi="Times New Roman" w:eastAsia="仿宋" w:cs="Times New Roman"/>
          <w:color w:val="auto"/>
          <w:sz w:val="30"/>
          <w:szCs w:val="30"/>
        </w:rPr>
        <w:t>在生态保护区、地下水超采区严控新增灌溉面积</w:t>
      </w:r>
      <w:r>
        <w:rPr>
          <w:rFonts w:hint="eastAsia" w:ascii="Times New Roman" w:hAnsi="Times New Roman" w:eastAsia="仿宋" w:cs="Times New Roman"/>
          <w:color w:val="auto"/>
          <w:sz w:val="30"/>
          <w:szCs w:val="30"/>
          <w:lang w:eastAsia="zh-CN"/>
        </w:rPr>
        <w:t>，有条件的实施“水改旱”和旱作农业</w:t>
      </w:r>
      <w:r>
        <w:rPr>
          <w:rFonts w:hint="eastAsia" w:ascii="Times New Roman" w:hAnsi="Times New Roman" w:eastAsia="仿宋" w:cs="Times New Roman"/>
          <w:color w:val="auto"/>
          <w:sz w:val="30"/>
          <w:szCs w:val="30"/>
        </w:rPr>
        <w:t>。地下水超采严重的西辽河流域</w:t>
      </w:r>
      <w:r>
        <w:rPr>
          <w:rFonts w:hint="eastAsia" w:ascii="Times New Roman" w:hAnsi="Times New Roman" w:eastAsia="仿宋" w:cs="Times New Roman"/>
          <w:color w:val="auto"/>
          <w:sz w:val="30"/>
          <w:szCs w:val="30"/>
          <w:lang w:eastAsia="zh-CN"/>
        </w:rPr>
        <w:t>，</w:t>
      </w:r>
      <w:r>
        <w:rPr>
          <w:rFonts w:hint="eastAsia" w:ascii="Times New Roman" w:hAnsi="Times New Roman" w:eastAsia="仿宋" w:cs="Times New Roman"/>
          <w:color w:val="auto"/>
          <w:sz w:val="30"/>
          <w:szCs w:val="30"/>
        </w:rPr>
        <w:t>严格地下水取水计量管理</w:t>
      </w:r>
      <w:r>
        <w:rPr>
          <w:rFonts w:hint="eastAsia" w:ascii="Times New Roman" w:hAnsi="Times New Roman" w:eastAsia="仿宋" w:cs="Times New Roman"/>
          <w:color w:val="auto"/>
          <w:sz w:val="30"/>
          <w:szCs w:val="30"/>
          <w:lang w:eastAsia="zh-CN"/>
        </w:rPr>
        <w:t>，逐步减少</w:t>
      </w:r>
      <w:r>
        <w:rPr>
          <w:rFonts w:hint="eastAsia" w:ascii="Times New Roman" w:hAnsi="Times New Roman" w:eastAsia="仿宋" w:cs="Times New Roman"/>
          <w:color w:val="auto"/>
          <w:sz w:val="30"/>
          <w:szCs w:val="30"/>
        </w:rPr>
        <w:t>高耗水作物种植</w:t>
      </w:r>
      <w:r>
        <w:rPr>
          <w:rFonts w:hint="eastAsia" w:ascii="Times New Roman" w:hAnsi="Times New Roman" w:eastAsia="仿宋" w:cs="Times New Roman"/>
          <w:color w:val="auto"/>
          <w:sz w:val="30"/>
          <w:szCs w:val="30"/>
          <w:lang w:eastAsia="zh-CN"/>
        </w:rPr>
        <w:t>面积</w:t>
      </w:r>
      <w:r>
        <w:rPr>
          <w:rFonts w:hint="eastAsia" w:ascii="Times New Roman" w:hAnsi="Times New Roman" w:eastAsia="仿宋" w:cs="Times New Roman"/>
          <w:color w:val="auto"/>
          <w:sz w:val="30"/>
          <w:szCs w:val="30"/>
        </w:rPr>
        <w:t>，</w:t>
      </w:r>
      <w:r>
        <w:rPr>
          <w:rFonts w:hint="eastAsia" w:ascii="Times New Roman" w:hAnsi="Times New Roman" w:eastAsia="仿宋" w:cs="Times New Roman"/>
          <w:color w:val="auto"/>
          <w:sz w:val="30"/>
          <w:szCs w:val="30"/>
          <w:lang w:eastAsia="zh-CN"/>
        </w:rPr>
        <w:t>加大农业</w:t>
      </w:r>
      <w:r>
        <w:rPr>
          <w:rFonts w:hint="eastAsia" w:ascii="Times New Roman" w:hAnsi="Times New Roman" w:eastAsia="仿宋" w:cs="Times New Roman"/>
          <w:color w:val="auto"/>
          <w:sz w:val="30"/>
          <w:szCs w:val="30"/>
        </w:rPr>
        <w:t>退灌</w:t>
      </w:r>
      <w:r>
        <w:rPr>
          <w:rFonts w:hint="eastAsia" w:ascii="Times New Roman" w:hAnsi="Times New Roman" w:eastAsia="仿宋" w:cs="Times New Roman"/>
          <w:color w:val="auto"/>
          <w:sz w:val="30"/>
          <w:szCs w:val="30"/>
          <w:lang w:eastAsia="zh-CN"/>
        </w:rPr>
        <w:t>，</w:t>
      </w:r>
      <w:r>
        <w:rPr>
          <w:rFonts w:hint="eastAsia" w:ascii="Times New Roman" w:hAnsi="Times New Roman" w:eastAsia="仿宋" w:cs="Times New Roman"/>
          <w:color w:val="auto"/>
          <w:sz w:val="30"/>
          <w:szCs w:val="30"/>
        </w:rPr>
        <w:t>退减不合理</w:t>
      </w:r>
      <w:r>
        <w:rPr>
          <w:rFonts w:hint="eastAsia" w:ascii="Times New Roman" w:hAnsi="Times New Roman" w:eastAsia="仿宋" w:cs="Times New Roman"/>
          <w:color w:val="auto"/>
          <w:sz w:val="30"/>
          <w:szCs w:val="30"/>
          <w:lang w:eastAsia="zh-CN"/>
        </w:rPr>
        <w:t>用</w:t>
      </w:r>
      <w:r>
        <w:rPr>
          <w:rFonts w:hint="eastAsia" w:ascii="Times New Roman" w:hAnsi="Times New Roman" w:eastAsia="仿宋" w:cs="Times New Roman"/>
          <w:color w:val="auto"/>
          <w:sz w:val="30"/>
          <w:szCs w:val="30"/>
        </w:rPr>
        <w:t>水。</w:t>
      </w:r>
    </w:p>
    <w:p>
      <w:pPr>
        <w:keepNext w:val="0"/>
        <w:keepLines w:val="0"/>
        <w:pageBreakBefore w:val="0"/>
        <w:kinsoku/>
        <w:wordWrap/>
        <w:overflowPunct/>
        <w:topLinePunct w:val="0"/>
        <w:autoSpaceDE/>
        <w:autoSpaceDN/>
        <w:bidi w:val="0"/>
        <w:adjustRightInd w:val="0"/>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rPr>
        <w:t>3、促进畜牧渔林业节水</w:t>
      </w:r>
    </w:p>
    <w:p>
      <w:pPr>
        <w:adjustRightInd w:val="0"/>
        <w:spacing w:line="360" w:lineRule="auto"/>
        <w:ind w:firstLine="600" w:firstLineChars="200"/>
        <w:contextualSpacing/>
        <w:rPr>
          <w:rFonts w:hint="eastAsia"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加快牧区水利建设，配套发展节水高效灌溉饲草</w:t>
      </w:r>
      <w:r>
        <w:rPr>
          <w:rFonts w:hint="eastAsia" w:ascii="Times New Roman" w:hAnsi="Times New Roman" w:eastAsia="仿宋" w:cs="Times New Roman"/>
          <w:color w:val="auto"/>
          <w:sz w:val="30"/>
          <w:szCs w:val="30"/>
          <w:lang w:eastAsia="zh-CN"/>
        </w:rPr>
        <w:t>料</w:t>
      </w:r>
      <w:r>
        <w:rPr>
          <w:rFonts w:hint="eastAsia" w:ascii="Times New Roman" w:hAnsi="Times New Roman" w:eastAsia="仿宋" w:cs="Times New Roman"/>
          <w:color w:val="auto"/>
          <w:sz w:val="30"/>
          <w:szCs w:val="30"/>
        </w:rPr>
        <w:t>基地</w:t>
      </w:r>
      <w:r>
        <w:rPr>
          <w:rFonts w:hint="eastAsia" w:ascii="Times New Roman" w:hAnsi="Times New Roman" w:eastAsia="仿宋" w:cs="Times New Roman"/>
          <w:color w:val="auto"/>
          <w:sz w:val="30"/>
          <w:szCs w:val="30"/>
          <w:lang w:eastAsia="zh-CN"/>
        </w:rPr>
        <w:t>，</w:t>
      </w:r>
      <w:r>
        <w:rPr>
          <w:rFonts w:hint="eastAsia" w:ascii="Times New Roman" w:hAnsi="Times New Roman" w:eastAsia="仿宋" w:cs="Times New Roman"/>
          <w:color w:val="auto"/>
          <w:sz w:val="30"/>
          <w:szCs w:val="30"/>
        </w:rPr>
        <w:t>调整饲草料种植结构，改良饲草料品种，转变畜牧业生产经营发展方式。支持规模化养殖场的标准化改造和建设，推进养殖污水无害化处理和适度再生利用，提高畜禽饮水、畜禽养殖场舍冲洗、粪便污水资源化等用水效率</w:t>
      </w:r>
      <w:r>
        <w:rPr>
          <w:rFonts w:hint="eastAsia" w:ascii="Times New Roman" w:hAnsi="Times New Roman" w:eastAsia="仿宋" w:cs="Times New Roman"/>
          <w:color w:val="auto"/>
          <w:sz w:val="30"/>
          <w:szCs w:val="30"/>
          <w:lang w:eastAsia="zh-CN"/>
        </w:rPr>
        <w:t>。创建一批畜牧节水示范工程</w:t>
      </w:r>
      <w:r>
        <w:rPr>
          <w:rFonts w:hint="eastAsia" w:ascii="Times New Roman" w:hAnsi="Times New Roman" w:eastAsia="仿宋" w:cs="Times New Roman"/>
          <w:color w:val="auto"/>
          <w:sz w:val="30"/>
          <w:szCs w:val="30"/>
        </w:rPr>
        <w:t>。发展节水渔业，积极推广池塘和工厂化循环水养殖、盐碱水养殖等水产养殖节水减排新技术，发展绿色高效水产养殖模式。</w:t>
      </w:r>
    </w:p>
    <w:p>
      <w:pPr>
        <w:keepNext w:val="0"/>
        <w:keepLines w:val="0"/>
        <w:pageBreakBefore w:val="0"/>
        <w:kinsoku/>
        <w:wordWrap/>
        <w:overflowPunct/>
        <w:topLinePunct w:val="0"/>
        <w:autoSpaceDE/>
        <w:autoSpaceDN/>
        <w:bidi w:val="0"/>
        <w:adjustRightInd w:val="0"/>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rPr>
        <w:t>4、推进农村生活节水</w:t>
      </w:r>
    </w:p>
    <w:p>
      <w:pPr>
        <w:adjustRightInd w:val="0"/>
        <w:spacing w:line="360" w:lineRule="auto"/>
        <w:ind w:firstLine="600" w:firstLineChars="200"/>
        <w:contextualSpacing/>
        <w:rPr>
          <w:rFonts w:hint="eastAsia"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结合新型城镇化和乡村振兴战略，实施农村集中供水改造，配套安装计量设施，推广使用节水器具。推进农村厕所革命。因地制宜推进农业农村污水资源化利用，推广易维护、低成本、低能耗污水处理技术，鼓励农村污水就地处理和回用。</w:t>
      </w:r>
    </w:p>
    <w:p>
      <w:pPr>
        <w:keepNext w:val="0"/>
        <w:keepLines w:val="0"/>
        <w:pageBreakBefore w:val="0"/>
        <w:widowControl w:val="0"/>
        <w:kinsoku/>
        <w:wordWrap/>
        <w:overflowPunct/>
        <w:topLinePunct w:val="0"/>
        <w:autoSpaceDE/>
        <w:autoSpaceDN/>
        <w:bidi w:val="0"/>
        <w:adjustRightInd w:val="0"/>
        <w:snapToGrid/>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rPr>
        <w:t>5、加快农业节水技术和装备研发应用</w:t>
      </w:r>
    </w:p>
    <w:p>
      <w:pPr>
        <w:adjustRightInd w:val="0"/>
        <w:spacing w:line="360" w:lineRule="auto"/>
        <w:ind w:firstLine="600" w:firstLineChars="200"/>
        <w:contextualSpacing/>
        <w:rPr>
          <w:rFonts w:hint="eastAsia"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重点推动用水精准计量、节水灌溉控制、渠系和管网漏损监测智能化</w:t>
      </w:r>
      <w:r>
        <w:rPr>
          <w:rFonts w:hint="eastAsia" w:ascii="Times New Roman" w:hAnsi="Times New Roman" w:eastAsia="仿宋" w:cs="Times New Roman"/>
          <w:color w:val="auto"/>
          <w:sz w:val="30"/>
          <w:szCs w:val="30"/>
          <w:lang w:eastAsia="zh-CN"/>
        </w:rPr>
        <w:t>等</w:t>
      </w:r>
      <w:r>
        <w:rPr>
          <w:rFonts w:hint="eastAsia" w:ascii="Times New Roman" w:hAnsi="Times New Roman" w:eastAsia="仿宋" w:cs="Times New Roman"/>
          <w:color w:val="auto"/>
          <w:sz w:val="30"/>
          <w:szCs w:val="30"/>
        </w:rPr>
        <w:t>技术研发，加强大数据、人工智能等新一代信息技术与农业节水技术、产品及管理的深度融合。加大灌溉试验和农田土壤墒情监测技术研发，科学合理确定农作物灌溉定额。</w:t>
      </w:r>
      <w:r>
        <w:rPr>
          <w:rFonts w:hint="eastAsia" w:ascii="Times New Roman" w:hAnsi="Times New Roman" w:eastAsia="仿宋" w:cs="Times New Roman"/>
          <w:color w:val="auto"/>
          <w:sz w:val="30"/>
          <w:szCs w:val="30"/>
          <w:lang w:eastAsia="zh-CN"/>
        </w:rPr>
        <w:t>推动</w:t>
      </w:r>
      <w:r>
        <w:rPr>
          <w:rFonts w:hint="eastAsia" w:ascii="Times New Roman" w:hAnsi="Times New Roman" w:eastAsia="仿宋" w:cs="Times New Roman"/>
          <w:color w:val="auto"/>
          <w:sz w:val="30"/>
          <w:szCs w:val="30"/>
        </w:rPr>
        <w:t>一批农业节水技术、产品、设备使用示范基地建设。</w:t>
      </w:r>
    </w:p>
    <w:p>
      <w:pPr>
        <w:pStyle w:val="4"/>
        <w:keepNext w:val="0"/>
        <w:keepLines w:val="0"/>
        <w:pageBreakBefore w:val="0"/>
        <w:widowControl w:val="0"/>
        <w:kinsoku/>
        <w:wordWrap/>
        <w:overflowPunct/>
        <w:topLinePunct w:val="0"/>
        <w:autoSpaceDE/>
        <w:autoSpaceDN/>
        <w:bidi w:val="0"/>
        <w:snapToGrid/>
        <w:spacing w:before="217" w:beforeLines="50" w:after="217" w:afterLines="50" w:line="360" w:lineRule="auto"/>
        <w:ind w:firstLine="642" w:firstLineChars="200"/>
        <w:contextualSpacing/>
        <w:textAlignment w:val="auto"/>
        <w:rPr>
          <w:rFonts w:ascii="仿宋" w:hAnsi="仿宋" w:cs="仿宋"/>
          <w:color w:val="auto"/>
          <w:sz w:val="32"/>
        </w:rPr>
      </w:pPr>
      <w:bookmarkStart w:id="27" w:name="_Toc11122"/>
      <w:r>
        <w:rPr>
          <w:rFonts w:hint="eastAsia" w:ascii="仿宋" w:hAnsi="仿宋" w:cs="仿宋"/>
          <w:color w:val="auto"/>
          <w:sz w:val="32"/>
        </w:rPr>
        <w:t>（二）工业节水</w:t>
      </w:r>
      <w:bookmarkEnd w:id="27"/>
    </w:p>
    <w:p>
      <w:pPr>
        <w:keepNext w:val="0"/>
        <w:keepLines w:val="0"/>
        <w:pageBreakBefore w:val="0"/>
        <w:widowControl w:val="0"/>
        <w:kinsoku/>
        <w:wordWrap/>
        <w:overflowPunct/>
        <w:topLinePunct w:val="0"/>
        <w:autoSpaceDE/>
        <w:autoSpaceDN/>
        <w:bidi w:val="0"/>
        <w:adjustRightInd w:val="0"/>
        <w:snapToGrid/>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rPr>
        <w:t>1、优化调整工业产业结构</w:t>
      </w:r>
    </w:p>
    <w:p>
      <w:pPr>
        <w:pStyle w:val="8"/>
        <w:keepNext w:val="0"/>
        <w:keepLines w:val="0"/>
        <w:pageBreakBefore w:val="0"/>
        <w:widowControl w:val="0"/>
        <w:kinsoku/>
        <w:wordWrap/>
        <w:overflowPunct/>
        <w:topLinePunct w:val="0"/>
        <w:autoSpaceDE/>
        <w:autoSpaceDN/>
        <w:bidi w:val="0"/>
        <w:snapToGrid/>
        <w:spacing w:line="360" w:lineRule="auto"/>
        <w:ind w:firstLine="600"/>
        <w:textAlignment w:val="auto"/>
        <w:rPr>
          <w:rFonts w:hint="eastAsia" w:eastAsia="仿宋"/>
          <w:color w:val="auto"/>
          <w:sz w:val="30"/>
          <w:szCs w:val="30"/>
        </w:rPr>
      </w:pPr>
      <w:r>
        <w:rPr>
          <w:rFonts w:hint="eastAsia" w:eastAsia="仿宋"/>
          <w:color w:val="auto"/>
          <w:sz w:val="30"/>
          <w:szCs w:val="30"/>
        </w:rPr>
        <w:t>按照“绿色高效、链条延伸、品牌支撑、转型升级”的发展思路，加快推动能源冶金、农畜产品加工、蒙医药加工等主导产业转型升级。大力发展战略性新兴产业</w:t>
      </w:r>
      <w:r>
        <w:rPr>
          <w:rFonts w:hint="eastAsia" w:eastAsia="仿宋"/>
          <w:color w:val="auto"/>
          <w:sz w:val="30"/>
          <w:szCs w:val="30"/>
          <w:lang w:eastAsia="zh-CN"/>
        </w:rPr>
        <w:t>，</w:t>
      </w:r>
      <w:r>
        <w:rPr>
          <w:rFonts w:hint="eastAsia" w:eastAsia="仿宋"/>
          <w:color w:val="auto"/>
          <w:sz w:val="30"/>
          <w:szCs w:val="30"/>
        </w:rPr>
        <w:t>鼓励高产出低耗水新型产业发展，培育壮大绿色发展动能。鼓励产业链延伸，积极推进从原材料初级加工向下游精深加工转变，从资源开发型向能源制造型转变。</w:t>
      </w:r>
    </w:p>
    <w:p>
      <w:pPr>
        <w:keepNext w:val="0"/>
        <w:keepLines w:val="0"/>
        <w:pageBreakBefore w:val="0"/>
        <w:widowControl w:val="0"/>
        <w:kinsoku/>
        <w:wordWrap/>
        <w:overflowPunct/>
        <w:topLinePunct w:val="0"/>
        <w:autoSpaceDE/>
        <w:autoSpaceDN/>
        <w:bidi w:val="0"/>
        <w:adjustRightInd w:val="0"/>
        <w:snapToGrid/>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lang w:val="en-US" w:eastAsia="zh-CN"/>
        </w:rPr>
        <w:t>2</w:t>
      </w:r>
      <w:r>
        <w:rPr>
          <w:rFonts w:hint="eastAsia" w:ascii="Times New Roman" w:hAnsi="Times New Roman" w:eastAsia="仿宋" w:cs="Times New Roman"/>
          <w:b/>
          <w:bCs/>
          <w:color w:val="auto"/>
          <w:sz w:val="30"/>
          <w:szCs w:val="30"/>
        </w:rPr>
        <w:t>、推进工业节水改造</w:t>
      </w:r>
    </w:p>
    <w:p>
      <w:pPr>
        <w:pStyle w:val="8"/>
        <w:keepNext w:val="0"/>
        <w:keepLines w:val="0"/>
        <w:pageBreakBefore w:val="0"/>
        <w:widowControl w:val="0"/>
        <w:kinsoku/>
        <w:wordWrap/>
        <w:overflowPunct/>
        <w:topLinePunct w:val="0"/>
        <w:autoSpaceDE/>
        <w:autoSpaceDN/>
        <w:bidi w:val="0"/>
        <w:snapToGrid/>
        <w:spacing w:line="360" w:lineRule="auto"/>
        <w:ind w:firstLine="600"/>
        <w:textAlignment w:val="auto"/>
        <w:rPr>
          <w:rFonts w:hint="eastAsia" w:eastAsia="仿宋"/>
          <w:color w:val="auto"/>
          <w:sz w:val="30"/>
          <w:szCs w:val="30"/>
          <w:lang w:eastAsia="zh-CN"/>
        </w:rPr>
      </w:pPr>
      <w:r>
        <w:rPr>
          <w:rFonts w:hint="eastAsia" w:eastAsia="仿宋"/>
          <w:color w:val="auto"/>
          <w:sz w:val="30"/>
          <w:szCs w:val="30"/>
        </w:rPr>
        <w:t>完善供用水计量体系和在线监测</w:t>
      </w:r>
      <w:r>
        <w:rPr>
          <w:rFonts w:hint="eastAsia" w:eastAsia="仿宋"/>
          <w:color w:val="auto"/>
          <w:sz w:val="30"/>
          <w:szCs w:val="30"/>
          <w:lang w:eastAsia="zh-CN"/>
        </w:rPr>
        <w:t>体系建设</w:t>
      </w:r>
      <w:r>
        <w:rPr>
          <w:rFonts w:hint="eastAsia" w:eastAsia="仿宋"/>
          <w:color w:val="auto"/>
          <w:sz w:val="30"/>
          <w:szCs w:val="30"/>
        </w:rPr>
        <w:t>，强化生产用水管理</w:t>
      </w:r>
      <w:r>
        <w:rPr>
          <w:rFonts w:hint="eastAsia" w:eastAsia="仿宋"/>
          <w:color w:val="auto"/>
          <w:sz w:val="30"/>
          <w:szCs w:val="30"/>
          <w:lang w:eastAsia="zh-CN"/>
        </w:rPr>
        <w:t>，</w:t>
      </w:r>
      <w:r>
        <w:rPr>
          <w:rFonts w:hint="eastAsia" w:eastAsia="仿宋"/>
          <w:color w:val="auto"/>
          <w:sz w:val="30"/>
          <w:szCs w:val="30"/>
        </w:rPr>
        <w:t>采用差别水价以及树立节水标杆等措施，促进</w:t>
      </w:r>
      <w:r>
        <w:rPr>
          <w:rFonts w:hint="eastAsia" w:eastAsia="仿宋"/>
          <w:color w:val="auto"/>
          <w:sz w:val="30"/>
          <w:szCs w:val="30"/>
          <w:lang w:eastAsia="zh-CN"/>
        </w:rPr>
        <w:t>工业节水减排</w:t>
      </w:r>
      <w:r>
        <w:rPr>
          <w:rFonts w:hint="eastAsia" w:eastAsia="仿宋"/>
          <w:color w:val="auto"/>
          <w:sz w:val="30"/>
          <w:szCs w:val="30"/>
        </w:rPr>
        <w:t>。针对我区工业产业结构特点，重点对</w:t>
      </w:r>
      <w:r>
        <w:rPr>
          <w:rFonts w:hint="eastAsia" w:eastAsia="仿宋"/>
          <w:color w:val="auto"/>
          <w:sz w:val="30"/>
          <w:szCs w:val="30"/>
          <w:lang w:eastAsia="zh-CN"/>
        </w:rPr>
        <w:t>“三高”</w:t>
      </w:r>
      <w:r>
        <w:rPr>
          <w:rFonts w:hint="eastAsia" w:eastAsia="仿宋"/>
          <w:color w:val="auto"/>
          <w:sz w:val="30"/>
          <w:szCs w:val="30"/>
        </w:rPr>
        <w:t>行业进行节水改造</w:t>
      </w:r>
      <w:r>
        <w:rPr>
          <w:rFonts w:hint="eastAsia" w:eastAsia="仿宋"/>
          <w:color w:val="auto"/>
          <w:sz w:val="30"/>
          <w:szCs w:val="30"/>
          <w:lang w:eastAsia="zh-CN"/>
        </w:rPr>
        <w:t>。</w:t>
      </w:r>
      <w:r>
        <w:rPr>
          <w:rFonts w:hint="eastAsia" w:eastAsia="仿宋"/>
          <w:color w:val="auto"/>
          <w:sz w:val="30"/>
          <w:szCs w:val="30"/>
        </w:rPr>
        <w:t>选择产能大、基础条件好的企业，从取水、供水、用水、耗水、排水等环节，支持企业开展节水技术改造及再生水回用改造</w:t>
      </w:r>
      <w:r>
        <w:rPr>
          <w:rFonts w:hint="eastAsia" w:eastAsia="仿宋"/>
          <w:color w:val="auto"/>
          <w:sz w:val="30"/>
          <w:szCs w:val="30"/>
          <w:lang w:eastAsia="zh-CN"/>
        </w:rPr>
        <w:t>。</w:t>
      </w:r>
      <w:r>
        <w:rPr>
          <w:rFonts w:hint="eastAsia" w:eastAsia="仿宋"/>
          <w:color w:val="auto"/>
          <w:sz w:val="30"/>
          <w:szCs w:val="30"/>
        </w:rPr>
        <w:t>重点企业要定期开展水平衡测试、用水审计及水效对标。对超过取水定额标准的企业分类分步限期实施节水改造。在生态脆弱、严重缺水和地下水超采地区，严格控制高耗水新建、改建、扩建项目，推进高耗水企业向水资源条件允许的工业园区集中。对采用列入淘汰目录工艺、技术和装备的项目，不予批准取水许可。</w:t>
      </w:r>
    </w:p>
    <w:p>
      <w:pPr>
        <w:keepNext w:val="0"/>
        <w:keepLines w:val="0"/>
        <w:pageBreakBefore w:val="0"/>
        <w:widowControl w:val="0"/>
        <w:kinsoku/>
        <w:wordWrap/>
        <w:overflowPunct/>
        <w:topLinePunct w:val="0"/>
        <w:autoSpaceDE/>
        <w:autoSpaceDN/>
        <w:bidi w:val="0"/>
        <w:adjustRightInd w:val="0"/>
        <w:snapToGrid/>
        <w:spacing w:line="360" w:lineRule="auto"/>
        <w:ind w:firstLine="602" w:firstLineChars="200"/>
        <w:contextualSpacing/>
        <w:textAlignment w:val="auto"/>
        <w:rPr>
          <w:rFonts w:hint="default" w:ascii="Times New Roman" w:hAnsi="Times New Roman" w:eastAsia="仿宋" w:cs="Times New Roman"/>
          <w:b/>
          <w:bCs/>
          <w:color w:val="auto"/>
          <w:sz w:val="30"/>
          <w:szCs w:val="30"/>
          <w:lang w:val="en-US" w:eastAsia="zh-CN"/>
        </w:rPr>
      </w:pPr>
      <w:r>
        <w:rPr>
          <w:rFonts w:hint="eastAsia" w:ascii="Times New Roman" w:hAnsi="Times New Roman" w:eastAsia="仿宋" w:cs="Times New Roman"/>
          <w:b/>
          <w:bCs/>
          <w:color w:val="auto"/>
          <w:sz w:val="30"/>
          <w:szCs w:val="30"/>
          <w:lang w:val="en-US" w:eastAsia="zh-CN"/>
        </w:rPr>
        <w:t>3、加强节水型工业园区建设</w:t>
      </w:r>
    </w:p>
    <w:p>
      <w:pPr>
        <w:keepNext w:val="0"/>
        <w:keepLines w:val="0"/>
        <w:pageBreakBefore w:val="0"/>
        <w:widowControl w:val="0"/>
        <w:kinsoku/>
        <w:wordWrap/>
        <w:overflowPunct/>
        <w:topLinePunct w:val="0"/>
        <w:autoSpaceDE/>
        <w:autoSpaceDN/>
        <w:bidi w:val="0"/>
        <w:adjustRightInd w:val="0"/>
        <w:snapToGrid/>
        <w:spacing w:line="360" w:lineRule="auto"/>
        <w:ind w:firstLine="600" w:firstLineChars="200"/>
        <w:contextualSpacing/>
        <w:textAlignment w:val="auto"/>
        <w:rPr>
          <w:rFonts w:hint="eastAsia" w:ascii="Times New Roman" w:hAnsi="Times New Roman" w:eastAsia="仿宋" w:cs="Times New Roman"/>
          <w:color w:val="auto"/>
          <w:sz w:val="30"/>
          <w:szCs w:val="30"/>
          <w:highlight w:val="green"/>
          <w:lang w:val="en-US" w:eastAsia="zh-CN"/>
        </w:rPr>
      </w:pPr>
      <w:r>
        <w:rPr>
          <w:rFonts w:hint="eastAsia" w:ascii="Times New Roman" w:hAnsi="Times New Roman" w:eastAsia="仿宋" w:cs="Times New Roman"/>
          <w:color w:val="auto"/>
          <w:sz w:val="30"/>
          <w:szCs w:val="30"/>
        </w:rPr>
        <w:t>推进现有工业园区开展以水资源循环梯级利用为重点内容的节水升级改造，加快节水及水循环利用设施建设，促进企业间串联用水、分质用水，一水多用和循环利用。推广示范产城融合用水新模式，有条件的工业园区与市政再生水运营部门合作，建立企业点对点串联用水系统。积极推动工业废水资源化利用，完善工业企业、园区污水处理设施建设，缺水地区应将市政再生水作为园区工业生产用水的重要来源，严控新水取用量。</w:t>
      </w:r>
      <w:r>
        <w:rPr>
          <w:rFonts w:hint="eastAsia" w:ascii="Times New Roman" w:hAnsi="Times New Roman" w:eastAsia="仿宋" w:cs="Times New Roman"/>
          <w:color w:val="auto"/>
          <w:sz w:val="30"/>
          <w:szCs w:val="30"/>
          <w:lang w:val="en-US" w:eastAsia="zh-CN"/>
        </w:rPr>
        <w:t>在有条件的地区，实施国家高新技术产业开发区废水近零排放试点工程。</w:t>
      </w:r>
    </w:p>
    <w:p>
      <w:pPr>
        <w:pStyle w:val="4"/>
        <w:keepNext w:val="0"/>
        <w:keepLines w:val="0"/>
        <w:pageBreakBefore w:val="0"/>
        <w:widowControl w:val="0"/>
        <w:kinsoku/>
        <w:wordWrap/>
        <w:overflowPunct/>
        <w:topLinePunct w:val="0"/>
        <w:autoSpaceDE/>
        <w:autoSpaceDN/>
        <w:bidi w:val="0"/>
        <w:snapToGrid/>
        <w:spacing w:before="217" w:beforeLines="50" w:after="217" w:afterLines="50" w:line="360" w:lineRule="auto"/>
        <w:ind w:firstLine="642" w:firstLineChars="200"/>
        <w:contextualSpacing/>
        <w:textAlignment w:val="auto"/>
        <w:rPr>
          <w:rFonts w:ascii="仿宋" w:hAnsi="仿宋" w:cs="仿宋"/>
          <w:color w:val="auto"/>
          <w:sz w:val="32"/>
        </w:rPr>
      </w:pPr>
      <w:bookmarkStart w:id="28" w:name="_Toc13035"/>
      <w:r>
        <w:rPr>
          <w:rFonts w:hint="eastAsia" w:ascii="仿宋" w:hAnsi="仿宋" w:cs="仿宋"/>
          <w:color w:val="auto"/>
          <w:sz w:val="32"/>
        </w:rPr>
        <w:t>（</w:t>
      </w:r>
      <w:r>
        <w:rPr>
          <w:rFonts w:hint="eastAsia" w:ascii="仿宋" w:hAnsi="仿宋" w:cs="仿宋"/>
          <w:color w:val="auto"/>
          <w:sz w:val="32"/>
          <w:lang w:val="en-US" w:eastAsia="zh-CN"/>
        </w:rPr>
        <w:t>三</w:t>
      </w:r>
      <w:r>
        <w:rPr>
          <w:rFonts w:hint="eastAsia" w:ascii="仿宋" w:hAnsi="仿宋" w:cs="仿宋"/>
          <w:color w:val="auto"/>
          <w:sz w:val="32"/>
        </w:rPr>
        <w:t>）城镇节水</w:t>
      </w:r>
      <w:bookmarkEnd w:id="28"/>
    </w:p>
    <w:p>
      <w:pPr>
        <w:keepNext w:val="0"/>
        <w:keepLines w:val="0"/>
        <w:pageBreakBefore w:val="0"/>
        <w:widowControl w:val="0"/>
        <w:kinsoku/>
        <w:wordWrap/>
        <w:overflowPunct/>
        <w:topLinePunct w:val="0"/>
        <w:autoSpaceDE/>
        <w:autoSpaceDN/>
        <w:bidi w:val="0"/>
        <w:adjustRightInd w:val="0"/>
        <w:snapToGrid/>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rPr>
        <w:t>1、推进节水型城市建设</w:t>
      </w:r>
    </w:p>
    <w:p>
      <w:pPr>
        <w:keepNext w:val="0"/>
        <w:keepLines w:val="0"/>
        <w:pageBreakBefore w:val="0"/>
        <w:widowControl w:val="0"/>
        <w:kinsoku/>
        <w:wordWrap/>
        <w:overflowPunct/>
        <w:topLinePunct w:val="0"/>
        <w:autoSpaceDE/>
        <w:autoSpaceDN/>
        <w:bidi w:val="0"/>
        <w:adjustRightInd w:val="0"/>
        <w:snapToGrid/>
        <w:spacing w:line="360" w:lineRule="auto"/>
        <w:ind w:firstLine="600" w:firstLineChars="200"/>
        <w:contextualSpacing/>
        <w:textAlignment w:val="auto"/>
        <w:rPr>
          <w:rFonts w:hint="eastAsia" w:ascii="Times New Roman" w:hAnsi="Times New Roman" w:eastAsia="仿宋" w:cs="Times New Roman"/>
          <w:color w:val="auto"/>
          <w:sz w:val="30"/>
          <w:szCs w:val="30"/>
          <w:lang w:eastAsia="zh-CN"/>
        </w:rPr>
      </w:pPr>
      <w:r>
        <w:rPr>
          <w:rFonts w:hint="eastAsia" w:ascii="Times New Roman" w:hAnsi="Times New Roman" w:eastAsia="仿宋" w:cs="Times New Roman"/>
          <w:color w:val="auto"/>
          <w:sz w:val="30"/>
          <w:szCs w:val="30"/>
        </w:rPr>
        <w:t>提高城市节水工作系统性，将节水落实到城市规划、建设、管理各环节，实现优水优用、循环循序利用。落实城市节水各项基础管理制度，推进城镇节水改造</w:t>
      </w:r>
      <w:r>
        <w:rPr>
          <w:rFonts w:hint="eastAsia" w:ascii="Times New Roman" w:hAnsi="Times New Roman" w:eastAsia="仿宋" w:cs="Times New Roman"/>
          <w:color w:val="auto"/>
          <w:sz w:val="30"/>
          <w:szCs w:val="30"/>
          <w:lang w:eastAsia="zh-CN"/>
        </w:rPr>
        <w:t>。</w:t>
      </w:r>
      <w:r>
        <w:rPr>
          <w:rFonts w:hint="eastAsia" w:ascii="Times New Roman" w:hAnsi="Times New Roman" w:eastAsia="仿宋" w:cs="Times New Roman"/>
          <w:color w:val="auto"/>
          <w:sz w:val="30"/>
          <w:szCs w:val="30"/>
        </w:rPr>
        <w:t>结合海绵城市建设，提高雨水资源利用水平。以缺水严重地区城市为重点，完善再生水利用设施建设与改造，城市生态景观、城市绿化、工业生产、道路清扫和车辆冲洗等，应优先使用再生水，鼓励构建城镇良性水循环系统。</w:t>
      </w:r>
    </w:p>
    <w:p>
      <w:pPr>
        <w:keepNext w:val="0"/>
        <w:keepLines w:val="0"/>
        <w:pageBreakBefore w:val="0"/>
        <w:kinsoku/>
        <w:wordWrap/>
        <w:overflowPunct/>
        <w:topLinePunct w:val="0"/>
        <w:autoSpaceDE/>
        <w:autoSpaceDN/>
        <w:bidi w:val="0"/>
        <w:adjustRightInd w:val="0"/>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rPr>
        <w:t>2、降低城市公共供水管网漏损</w:t>
      </w:r>
    </w:p>
    <w:p>
      <w:pPr>
        <w:keepNext w:val="0"/>
        <w:keepLines w:val="0"/>
        <w:pageBreakBefore w:val="0"/>
        <w:kinsoku/>
        <w:wordWrap/>
        <w:overflowPunct/>
        <w:topLinePunct w:val="0"/>
        <w:autoSpaceDE/>
        <w:autoSpaceDN/>
        <w:bidi w:val="0"/>
        <w:adjustRightInd w:val="0"/>
        <w:spacing w:line="360" w:lineRule="auto"/>
        <w:ind w:firstLine="600" w:firstLineChars="200"/>
        <w:contextualSpacing/>
        <w:textAlignment w:val="auto"/>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针对我区城市管网漏损较大的问题，</w:t>
      </w:r>
      <w:r>
        <w:rPr>
          <w:rFonts w:hint="eastAsia" w:ascii="Times New Roman" w:hAnsi="Times New Roman" w:eastAsia="仿宋" w:cs="Times New Roman"/>
          <w:color w:val="auto"/>
          <w:sz w:val="30"/>
          <w:szCs w:val="30"/>
          <w:lang w:eastAsia="zh-CN"/>
        </w:rPr>
        <w:t>开展</w:t>
      </w:r>
      <w:r>
        <w:rPr>
          <w:rFonts w:hint="eastAsia" w:ascii="Times New Roman" w:hAnsi="Times New Roman" w:eastAsia="仿宋" w:cs="Times New Roman"/>
          <w:color w:val="auto"/>
          <w:sz w:val="30"/>
          <w:szCs w:val="30"/>
        </w:rPr>
        <w:t>城市供水管网普查工作，建立管网技术档案，制定合理改造</w:t>
      </w:r>
      <w:r>
        <w:rPr>
          <w:rFonts w:hint="eastAsia" w:ascii="Times New Roman" w:hAnsi="Times New Roman" w:eastAsia="仿宋" w:cs="Times New Roman"/>
          <w:color w:val="auto"/>
          <w:sz w:val="30"/>
          <w:szCs w:val="30"/>
          <w:lang w:eastAsia="zh-CN"/>
        </w:rPr>
        <w:t>方案</w:t>
      </w:r>
      <w:r>
        <w:rPr>
          <w:rFonts w:hint="eastAsia" w:ascii="Times New Roman" w:hAnsi="Times New Roman" w:eastAsia="仿宋" w:cs="Times New Roman"/>
          <w:color w:val="auto"/>
          <w:sz w:val="30"/>
          <w:szCs w:val="30"/>
        </w:rPr>
        <w:t>，有计划的</w:t>
      </w:r>
      <w:r>
        <w:rPr>
          <w:rFonts w:ascii="Times New Roman" w:hAnsi="Times New Roman" w:eastAsia="仿宋" w:cs="Times New Roman"/>
          <w:color w:val="auto"/>
          <w:sz w:val="30"/>
          <w:szCs w:val="30"/>
        </w:rPr>
        <w:t>对使用年限超过50年</w:t>
      </w:r>
      <w:r>
        <w:rPr>
          <w:rFonts w:hint="eastAsia" w:ascii="Times New Roman" w:hAnsi="Times New Roman" w:eastAsia="仿宋" w:cs="Times New Roman"/>
          <w:color w:val="auto"/>
          <w:sz w:val="30"/>
          <w:szCs w:val="30"/>
          <w:lang w:eastAsia="zh-CN"/>
        </w:rPr>
        <w:t>，</w:t>
      </w:r>
      <w:r>
        <w:rPr>
          <w:rFonts w:ascii="Times New Roman" w:hAnsi="Times New Roman" w:eastAsia="仿宋" w:cs="Times New Roman"/>
          <w:color w:val="auto"/>
          <w:sz w:val="30"/>
          <w:szCs w:val="30"/>
        </w:rPr>
        <w:t>材质落后和受损失修的供水管网进行更新改造</w:t>
      </w:r>
      <w:r>
        <w:rPr>
          <w:rFonts w:hint="eastAsia" w:ascii="Times New Roman" w:hAnsi="Times New Roman" w:eastAsia="仿宋" w:cs="Times New Roman"/>
          <w:color w:val="auto"/>
          <w:sz w:val="30"/>
          <w:szCs w:val="30"/>
          <w:lang w:eastAsia="zh-CN"/>
        </w:rPr>
        <w:t>。</w:t>
      </w:r>
      <w:r>
        <w:rPr>
          <w:rFonts w:ascii="Times New Roman" w:hAnsi="Times New Roman" w:eastAsia="仿宋" w:cs="Times New Roman"/>
          <w:color w:val="auto"/>
          <w:sz w:val="30"/>
          <w:szCs w:val="30"/>
        </w:rPr>
        <w:t>深入开展城</w:t>
      </w:r>
      <w:r>
        <w:rPr>
          <w:rFonts w:hint="eastAsia" w:ascii="Times New Roman" w:hAnsi="Times New Roman" w:eastAsia="仿宋" w:cs="Times New Roman"/>
          <w:color w:val="auto"/>
          <w:sz w:val="30"/>
          <w:szCs w:val="30"/>
        </w:rPr>
        <w:t>市</w:t>
      </w:r>
      <w:r>
        <w:rPr>
          <w:rFonts w:ascii="Times New Roman" w:hAnsi="Times New Roman" w:eastAsia="仿宋" w:cs="Times New Roman"/>
          <w:color w:val="auto"/>
          <w:sz w:val="30"/>
          <w:szCs w:val="30"/>
        </w:rPr>
        <w:t>供水管网分区计量管理，完善供水管网检漏制度，建立精细化管理监测平台和管网漏损管控体系，进一步降低供水管网漏损率。</w:t>
      </w:r>
      <w:r>
        <w:rPr>
          <w:rFonts w:hint="eastAsia" w:ascii="Times New Roman" w:hAnsi="Times New Roman" w:eastAsia="仿宋" w:cs="Times New Roman"/>
          <w:color w:val="auto"/>
          <w:sz w:val="30"/>
          <w:szCs w:val="30"/>
        </w:rPr>
        <w:t>供水企业须加大管网检漏力度，加强管网巡查，对供水管线进行定期巡检和维护。</w:t>
      </w:r>
      <w:r>
        <w:rPr>
          <w:rFonts w:ascii="Times New Roman" w:hAnsi="Times New Roman" w:eastAsia="仿宋" w:cs="Times New Roman"/>
          <w:color w:val="auto"/>
          <w:sz w:val="30"/>
          <w:szCs w:val="30"/>
        </w:rPr>
        <w:t>到2025年，</w:t>
      </w:r>
      <w:r>
        <w:rPr>
          <w:rFonts w:hint="eastAsia" w:ascii="Times New Roman" w:hAnsi="Times New Roman" w:eastAsia="仿宋" w:cs="Times New Roman"/>
          <w:color w:val="auto"/>
          <w:sz w:val="30"/>
          <w:szCs w:val="30"/>
        </w:rPr>
        <w:t>全区</w:t>
      </w:r>
      <w:r>
        <w:rPr>
          <w:rFonts w:ascii="Times New Roman" w:hAnsi="Times New Roman" w:eastAsia="仿宋" w:cs="Times New Roman"/>
          <w:color w:val="auto"/>
          <w:sz w:val="30"/>
          <w:szCs w:val="30"/>
        </w:rPr>
        <w:t>公共管网漏</w:t>
      </w:r>
      <w:r>
        <w:rPr>
          <w:rFonts w:hint="eastAsia" w:ascii="Times New Roman" w:hAnsi="Times New Roman" w:eastAsia="仿宋" w:cs="Times New Roman"/>
          <w:color w:val="auto"/>
          <w:sz w:val="30"/>
          <w:szCs w:val="30"/>
        </w:rPr>
        <w:t>损</w:t>
      </w:r>
      <w:r>
        <w:rPr>
          <w:rFonts w:ascii="Times New Roman" w:hAnsi="Times New Roman" w:eastAsia="仿宋" w:cs="Times New Roman"/>
          <w:color w:val="auto"/>
          <w:sz w:val="30"/>
          <w:szCs w:val="30"/>
        </w:rPr>
        <w:t>率</w:t>
      </w:r>
      <w:r>
        <w:rPr>
          <w:rFonts w:hint="eastAsia" w:ascii="Times New Roman" w:hAnsi="Times New Roman" w:eastAsia="仿宋" w:cs="Times New Roman"/>
          <w:color w:val="auto"/>
          <w:sz w:val="30"/>
          <w:szCs w:val="30"/>
        </w:rPr>
        <w:t>控制在10%以内</w:t>
      </w:r>
      <w:r>
        <w:rPr>
          <w:rFonts w:ascii="Times New Roman" w:hAnsi="Times New Roman" w:eastAsia="仿宋" w:cs="Times New Roman"/>
          <w:color w:val="auto"/>
          <w:sz w:val="30"/>
          <w:szCs w:val="30"/>
        </w:rPr>
        <w:t>。</w:t>
      </w:r>
    </w:p>
    <w:p>
      <w:pPr>
        <w:keepNext w:val="0"/>
        <w:keepLines w:val="0"/>
        <w:pageBreakBefore w:val="0"/>
        <w:kinsoku/>
        <w:wordWrap/>
        <w:overflowPunct/>
        <w:topLinePunct w:val="0"/>
        <w:autoSpaceDE/>
        <w:autoSpaceDN/>
        <w:bidi w:val="0"/>
        <w:adjustRightInd w:val="0"/>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rPr>
        <w:t>3、强化城镇用水定额管理</w:t>
      </w:r>
    </w:p>
    <w:p>
      <w:pPr>
        <w:keepNext w:val="0"/>
        <w:keepLines w:val="0"/>
        <w:pageBreakBefore w:val="0"/>
        <w:kinsoku/>
        <w:wordWrap/>
        <w:overflowPunct/>
        <w:topLinePunct w:val="0"/>
        <w:autoSpaceDE/>
        <w:autoSpaceDN/>
        <w:bidi w:val="0"/>
        <w:adjustRightInd w:val="0"/>
        <w:spacing w:line="360" w:lineRule="auto"/>
        <w:ind w:firstLine="600" w:firstLineChars="200"/>
        <w:contextualSpacing/>
        <w:textAlignment w:val="auto"/>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充分发挥市场、价格因素在水资源配置、水需求调节中的重要作用。缺水城市</w:t>
      </w:r>
      <w:r>
        <w:rPr>
          <w:rFonts w:hint="eastAsia" w:ascii="Times New Roman" w:hAnsi="Times New Roman" w:eastAsia="仿宋" w:cs="Times New Roman"/>
          <w:color w:val="auto"/>
          <w:sz w:val="30"/>
          <w:szCs w:val="30"/>
          <w:lang w:eastAsia="zh-CN"/>
        </w:rPr>
        <w:t>要积极落实</w:t>
      </w:r>
      <w:r>
        <w:rPr>
          <w:rFonts w:hint="eastAsia" w:ascii="Times New Roman" w:hAnsi="Times New Roman" w:eastAsia="仿宋" w:cs="Times New Roman"/>
          <w:color w:val="auto"/>
          <w:sz w:val="30"/>
          <w:szCs w:val="30"/>
        </w:rPr>
        <w:t>“阶梯水价”制度，保持居民基本生活用水价格稳定；对非居民用水和特种行业用水实行不同的用水价格，</w:t>
      </w:r>
      <w:r>
        <w:rPr>
          <w:rFonts w:hint="eastAsia" w:ascii="Times New Roman" w:hAnsi="Times New Roman" w:eastAsia="仿宋" w:cs="Times New Roman"/>
          <w:color w:val="auto"/>
          <w:sz w:val="30"/>
          <w:szCs w:val="30"/>
          <w:lang w:eastAsia="zh-CN"/>
        </w:rPr>
        <w:t>并落实</w:t>
      </w:r>
      <w:r>
        <w:rPr>
          <w:rFonts w:hint="eastAsia" w:ascii="Times New Roman" w:hAnsi="Times New Roman" w:eastAsia="仿宋" w:cs="Times New Roman"/>
          <w:color w:val="auto"/>
          <w:sz w:val="30"/>
          <w:szCs w:val="30"/>
        </w:rPr>
        <w:t>超定额累进加价。鼓励用水单位采取节水措施</w:t>
      </w:r>
      <w:r>
        <w:rPr>
          <w:rFonts w:hint="eastAsia" w:ascii="Times New Roman" w:hAnsi="Times New Roman" w:eastAsia="仿宋" w:cs="Times New Roman"/>
          <w:color w:val="auto"/>
          <w:sz w:val="30"/>
          <w:szCs w:val="30"/>
          <w:lang w:eastAsia="zh-CN"/>
        </w:rPr>
        <w:t>。</w:t>
      </w:r>
      <w:r>
        <w:rPr>
          <w:rFonts w:hint="eastAsia" w:ascii="Times New Roman" w:hAnsi="Times New Roman" w:eastAsia="仿宋" w:cs="Times New Roman"/>
          <w:color w:val="auto"/>
          <w:sz w:val="30"/>
          <w:szCs w:val="30"/>
        </w:rPr>
        <w:t>进一步完善污水处理成本分担机制、激励约束机制和收费标准动态调整机制，健全相关配套政策。</w:t>
      </w:r>
    </w:p>
    <w:p>
      <w:pPr>
        <w:keepNext w:val="0"/>
        <w:keepLines w:val="0"/>
        <w:pageBreakBefore w:val="0"/>
        <w:kinsoku/>
        <w:wordWrap/>
        <w:overflowPunct/>
        <w:topLinePunct w:val="0"/>
        <w:autoSpaceDE/>
        <w:autoSpaceDN/>
        <w:bidi w:val="0"/>
        <w:adjustRightInd w:val="0"/>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rPr>
        <w:t>4、深入开展公共领域节水</w:t>
      </w:r>
    </w:p>
    <w:p>
      <w:pPr>
        <w:keepNext w:val="0"/>
        <w:keepLines w:val="0"/>
        <w:pageBreakBefore w:val="0"/>
        <w:kinsoku/>
        <w:wordWrap/>
        <w:overflowPunct/>
        <w:topLinePunct w:val="0"/>
        <w:autoSpaceDE/>
        <w:autoSpaceDN/>
        <w:bidi w:val="0"/>
        <w:adjustRightInd w:val="0"/>
        <w:spacing w:line="360" w:lineRule="auto"/>
        <w:ind w:firstLine="600" w:firstLineChars="200"/>
        <w:contextualSpacing/>
        <w:textAlignment w:val="auto"/>
        <w:rPr>
          <w:rFonts w:hint="eastAsia" w:ascii="Times New Roman" w:hAnsi="Times New Roman" w:eastAsia="仿宋" w:cs="Times New Roman"/>
          <w:color w:val="auto"/>
          <w:sz w:val="30"/>
          <w:szCs w:val="30"/>
          <w:highlight w:val="green"/>
          <w:lang w:eastAsia="zh-CN"/>
        </w:rPr>
      </w:pPr>
      <w:r>
        <w:rPr>
          <w:rFonts w:hint="eastAsia" w:ascii="Times New Roman" w:hAnsi="Times New Roman" w:eastAsia="仿宋" w:cs="Times New Roman"/>
          <w:color w:val="auto"/>
          <w:sz w:val="30"/>
          <w:szCs w:val="30"/>
        </w:rPr>
        <w:t>城市园林绿化宜选用适合本地区的节水耐旱型植被，采用高效节水灌溉方式。公共机构要开展供水管网、绿化浇灌系统等节水诊断。加快推广普及生活节水器具，推进学校、医院、宾馆、餐饮、洗浴等重点行业节水技术改造，全面开展节水型公共机构、居民小区建设。新建公共建筑必须安装使用节水器具。</w:t>
      </w:r>
      <w:r>
        <w:rPr>
          <w:rFonts w:hint="eastAsia" w:ascii="Times New Roman" w:hAnsi="Times New Roman" w:eastAsia="仿宋" w:cs="Times New Roman"/>
          <w:color w:val="auto"/>
          <w:sz w:val="30"/>
          <w:szCs w:val="30"/>
          <w:lang w:eastAsia="zh-CN"/>
        </w:rPr>
        <w:t>“十四五”期间，</w:t>
      </w:r>
      <w:r>
        <w:rPr>
          <w:rFonts w:hint="eastAsia" w:ascii="Times New Roman" w:hAnsi="Times New Roman" w:eastAsia="仿宋" w:cs="Times New Roman"/>
          <w:color w:val="auto"/>
          <w:sz w:val="30"/>
          <w:szCs w:val="30"/>
        </w:rPr>
        <w:t>自治区级机关全部建成节水型单位，</w:t>
      </w:r>
      <w:r>
        <w:rPr>
          <w:rFonts w:hint="eastAsia" w:ascii="Times New Roman" w:hAnsi="Times New Roman" w:eastAsia="仿宋" w:cs="Times New Roman"/>
          <w:color w:val="auto"/>
          <w:sz w:val="30"/>
          <w:szCs w:val="30"/>
          <w:lang w:eastAsia="zh-CN"/>
        </w:rPr>
        <w:t>进一步扩大</w:t>
      </w:r>
      <w:r>
        <w:rPr>
          <w:rFonts w:hint="eastAsia" w:ascii="Times New Roman" w:hAnsi="Times New Roman" w:eastAsia="仿宋" w:cs="Times New Roman"/>
          <w:color w:val="auto"/>
          <w:sz w:val="30"/>
          <w:szCs w:val="30"/>
        </w:rPr>
        <w:t>节水型高校</w:t>
      </w:r>
      <w:r>
        <w:rPr>
          <w:rFonts w:hint="eastAsia" w:ascii="Times New Roman" w:hAnsi="Times New Roman" w:eastAsia="仿宋" w:cs="Times New Roman"/>
          <w:color w:val="auto"/>
          <w:sz w:val="30"/>
          <w:szCs w:val="30"/>
          <w:lang w:eastAsia="zh-CN"/>
        </w:rPr>
        <w:t>创建范围。</w:t>
      </w:r>
    </w:p>
    <w:p>
      <w:pPr>
        <w:keepNext w:val="0"/>
        <w:keepLines w:val="0"/>
        <w:pageBreakBefore w:val="0"/>
        <w:kinsoku/>
        <w:wordWrap/>
        <w:overflowPunct/>
        <w:topLinePunct w:val="0"/>
        <w:autoSpaceDE/>
        <w:autoSpaceDN/>
        <w:bidi w:val="0"/>
        <w:adjustRightInd w:val="0"/>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lang w:val="en-US" w:eastAsia="zh-CN"/>
        </w:rPr>
        <w:t>5</w:t>
      </w:r>
      <w:r>
        <w:rPr>
          <w:rFonts w:hint="eastAsia" w:ascii="Times New Roman" w:hAnsi="Times New Roman" w:eastAsia="仿宋" w:cs="Times New Roman"/>
          <w:b/>
          <w:bCs/>
          <w:color w:val="auto"/>
          <w:sz w:val="30"/>
          <w:szCs w:val="30"/>
        </w:rPr>
        <w:t>、严控特种行业用水</w:t>
      </w:r>
    </w:p>
    <w:p>
      <w:pPr>
        <w:keepNext w:val="0"/>
        <w:keepLines w:val="0"/>
        <w:pageBreakBefore w:val="0"/>
        <w:kinsoku/>
        <w:wordWrap/>
        <w:overflowPunct/>
        <w:topLinePunct w:val="0"/>
        <w:autoSpaceDE/>
        <w:autoSpaceDN/>
        <w:bidi w:val="0"/>
        <w:adjustRightInd w:val="0"/>
        <w:spacing w:line="360" w:lineRule="auto"/>
        <w:ind w:firstLine="600" w:firstLineChars="200"/>
        <w:contextualSpacing/>
        <w:textAlignment w:val="auto"/>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从严控制洗浴、洗车、高尔夫球场、人工滑雪场、洗涤、宾馆等行业用水定额，严格实行超定额累进加价制度。特种行业</w:t>
      </w:r>
      <w:r>
        <w:rPr>
          <w:rFonts w:hint="eastAsia" w:ascii="Times New Roman" w:hAnsi="Times New Roman" w:eastAsia="仿宋" w:cs="Times New Roman"/>
          <w:color w:val="auto"/>
          <w:sz w:val="30"/>
          <w:szCs w:val="30"/>
          <w:lang w:val="en-US" w:eastAsia="zh-CN"/>
        </w:rPr>
        <w:t>应</w:t>
      </w:r>
      <w:r>
        <w:rPr>
          <w:rFonts w:hint="eastAsia" w:ascii="Times New Roman" w:hAnsi="Times New Roman" w:eastAsia="仿宋" w:cs="Times New Roman"/>
          <w:color w:val="auto"/>
          <w:sz w:val="30"/>
          <w:szCs w:val="30"/>
        </w:rPr>
        <w:t>积极推广循环用水技术</w:t>
      </w:r>
      <w:r>
        <w:rPr>
          <w:rFonts w:hint="eastAsia" w:ascii="Times New Roman" w:hAnsi="Times New Roman" w:eastAsia="仿宋" w:cs="Times New Roman"/>
          <w:color w:val="auto"/>
          <w:sz w:val="30"/>
          <w:szCs w:val="30"/>
          <w:lang w:eastAsia="zh-CN"/>
        </w:rPr>
        <w:t>和</w:t>
      </w:r>
      <w:r>
        <w:rPr>
          <w:rFonts w:hint="eastAsia" w:ascii="Times New Roman" w:hAnsi="Times New Roman" w:eastAsia="仿宋" w:cs="Times New Roman"/>
          <w:color w:val="auto"/>
          <w:sz w:val="30"/>
          <w:szCs w:val="30"/>
        </w:rPr>
        <w:t>设备，优先利用再生水、雨水等非常规水源。</w:t>
      </w:r>
    </w:p>
    <w:p>
      <w:pPr>
        <w:pStyle w:val="4"/>
        <w:keepNext w:val="0"/>
        <w:keepLines w:val="0"/>
        <w:pageBreakBefore w:val="0"/>
        <w:kinsoku/>
        <w:wordWrap/>
        <w:overflowPunct/>
        <w:topLinePunct w:val="0"/>
        <w:autoSpaceDE/>
        <w:autoSpaceDN/>
        <w:bidi w:val="0"/>
        <w:spacing w:before="217" w:beforeLines="50" w:after="217" w:afterLines="50" w:line="360" w:lineRule="auto"/>
        <w:ind w:firstLine="642" w:firstLineChars="200"/>
        <w:contextualSpacing/>
        <w:textAlignment w:val="auto"/>
        <w:rPr>
          <w:rFonts w:ascii="仿宋" w:hAnsi="仿宋" w:cs="仿宋"/>
          <w:color w:val="auto"/>
          <w:sz w:val="32"/>
        </w:rPr>
      </w:pPr>
      <w:bookmarkStart w:id="29" w:name="_Toc20174"/>
      <w:r>
        <w:rPr>
          <w:rFonts w:hint="eastAsia" w:ascii="仿宋" w:hAnsi="仿宋" w:cs="仿宋"/>
          <w:color w:val="auto"/>
          <w:sz w:val="32"/>
        </w:rPr>
        <w:t>（</w:t>
      </w:r>
      <w:r>
        <w:rPr>
          <w:rFonts w:hint="eastAsia" w:ascii="仿宋" w:hAnsi="仿宋" w:cs="仿宋"/>
          <w:color w:val="auto"/>
          <w:sz w:val="32"/>
          <w:lang w:val="en-US" w:eastAsia="zh-CN"/>
        </w:rPr>
        <w:t>四</w:t>
      </w:r>
      <w:r>
        <w:rPr>
          <w:rFonts w:hint="eastAsia" w:ascii="仿宋" w:hAnsi="仿宋" w:cs="仿宋"/>
          <w:color w:val="auto"/>
          <w:sz w:val="32"/>
        </w:rPr>
        <w:t>）非常规水源利用</w:t>
      </w:r>
      <w:bookmarkEnd w:id="29"/>
    </w:p>
    <w:p>
      <w:pPr>
        <w:keepNext w:val="0"/>
        <w:keepLines w:val="0"/>
        <w:pageBreakBefore w:val="0"/>
        <w:kinsoku/>
        <w:wordWrap/>
        <w:overflowPunct/>
        <w:topLinePunct w:val="0"/>
        <w:autoSpaceDE/>
        <w:autoSpaceDN/>
        <w:bidi w:val="0"/>
        <w:adjustRightInd w:val="0"/>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rPr>
        <w:t>1、加</w:t>
      </w:r>
      <w:r>
        <w:rPr>
          <w:rFonts w:hint="eastAsia" w:ascii="Times New Roman" w:hAnsi="Times New Roman" w:eastAsia="仿宋" w:cs="Times New Roman"/>
          <w:b/>
          <w:bCs/>
          <w:color w:val="auto"/>
          <w:sz w:val="30"/>
          <w:szCs w:val="30"/>
          <w:lang w:val="en-US" w:eastAsia="zh-CN"/>
        </w:rPr>
        <w:t>强</w:t>
      </w:r>
      <w:r>
        <w:rPr>
          <w:rFonts w:hint="eastAsia" w:ascii="Times New Roman" w:hAnsi="Times New Roman" w:eastAsia="仿宋" w:cs="Times New Roman"/>
          <w:b/>
          <w:bCs/>
          <w:color w:val="auto"/>
          <w:sz w:val="30"/>
          <w:szCs w:val="30"/>
        </w:rPr>
        <w:t>非常规水源配置</w:t>
      </w:r>
    </w:p>
    <w:p>
      <w:pPr>
        <w:keepNext w:val="0"/>
        <w:keepLines w:val="0"/>
        <w:pageBreakBefore w:val="0"/>
        <w:kinsoku/>
        <w:wordWrap/>
        <w:overflowPunct/>
        <w:topLinePunct w:val="0"/>
        <w:autoSpaceDE/>
        <w:autoSpaceDN/>
        <w:bidi w:val="0"/>
        <w:adjustRightInd w:val="0"/>
        <w:spacing w:line="360" w:lineRule="auto"/>
        <w:ind w:firstLine="576" w:firstLineChars="200"/>
        <w:contextualSpacing/>
        <w:textAlignment w:val="auto"/>
        <w:rPr>
          <w:rFonts w:hint="eastAsia" w:ascii="Times New Roman" w:hAnsi="Times New Roman" w:eastAsia="仿宋" w:cs="Times New Roman"/>
          <w:color w:val="auto"/>
          <w:spacing w:val="-6"/>
          <w:sz w:val="30"/>
          <w:szCs w:val="30"/>
        </w:rPr>
      </w:pPr>
      <w:r>
        <w:rPr>
          <w:rFonts w:hint="eastAsia" w:ascii="Times New Roman" w:hAnsi="Times New Roman" w:eastAsia="仿宋" w:cs="Times New Roman"/>
          <w:color w:val="auto"/>
          <w:spacing w:val="-6"/>
          <w:sz w:val="30"/>
          <w:szCs w:val="30"/>
        </w:rPr>
        <w:t>鼓励优先配置利用中水、疏干水、微咸水和雨水等非常规水源，并将非常规水源纳入区域水资源统一配置，逐年提高非常规水利用比例，并纳入</w:t>
      </w:r>
      <w:r>
        <w:rPr>
          <w:rFonts w:hint="eastAsia" w:ascii="Times New Roman" w:hAnsi="Times New Roman" w:eastAsia="仿宋" w:cs="Times New Roman"/>
          <w:color w:val="auto"/>
          <w:spacing w:val="-6"/>
          <w:sz w:val="30"/>
          <w:szCs w:val="30"/>
          <w:lang w:eastAsia="zh-CN"/>
        </w:rPr>
        <w:t>实行最严格水资源管理制度</w:t>
      </w:r>
      <w:r>
        <w:rPr>
          <w:rFonts w:hint="eastAsia" w:ascii="Times New Roman" w:hAnsi="Times New Roman" w:eastAsia="仿宋" w:cs="Times New Roman"/>
          <w:color w:val="auto"/>
          <w:spacing w:val="-6"/>
          <w:sz w:val="30"/>
          <w:szCs w:val="30"/>
        </w:rPr>
        <w:t>考核。有条件的地区要加快实施工业项目取用地下水的水源置换工作，逐步减少现有工业项目使用的地下水</w:t>
      </w:r>
      <w:r>
        <w:rPr>
          <w:rFonts w:hint="eastAsia" w:ascii="Times New Roman" w:hAnsi="Times New Roman" w:eastAsia="仿宋" w:cs="Times New Roman"/>
          <w:color w:val="auto"/>
          <w:spacing w:val="-6"/>
          <w:sz w:val="30"/>
          <w:szCs w:val="30"/>
          <w:lang w:eastAsia="zh-CN"/>
        </w:rPr>
        <w:t>，</w:t>
      </w:r>
      <w:r>
        <w:rPr>
          <w:rFonts w:hint="eastAsia" w:ascii="Times New Roman" w:hAnsi="Times New Roman" w:eastAsia="仿宋" w:cs="Times New Roman"/>
          <w:color w:val="auto"/>
          <w:spacing w:val="-6"/>
          <w:sz w:val="30"/>
          <w:szCs w:val="30"/>
        </w:rPr>
        <w:t>具备使用非常规水条件但未充分利用的建设项目不得批准其新增取水许可。新建小区、城市道路、公共绿地等因地制宜配套建设雨水集蓄利用设施。</w:t>
      </w:r>
    </w:p>
    <w:p>
      <w:pPr>
        <w:keepNext w:val="0"/>
        <w:keepLines w:val="0"/>
        <w:pageBreakBefore w:val="0"/>
        <w:kinsoku/>
        <w:wordWrap/>
        <w:overflowPunct/>
        <w:topLinePunct w:val="0"/>
        <w:autoSpaceDE/>
        <w:autoSpaceDN/>
        <w:bidi w:val="0"/>
        <w:adjustRightInd w:val="0"/>
        <w:spacing w:line="360" w:lineRule="auto"/>
        <w:ind w:firstLine="602" w:firstLineChars="200"/>
        <w:contextualSpacing/>
        <w:textAlignment w:val="auto"/>
        <w:rPr>
          <w:rFonts w:ascii="Times New Roman" w:hAnsi="Times New Roman" w:eastAsia="仿宋" w:cs="Times New Roman"/>
          <w:b/>
          <w:bCs/>
          <w:color w:val="auto"/>
          <w:sz w:val="30"/>
          <w:szCs w:val="30"/>
        </w:rPr>
      </w:pPr>
      <w:r>
        <w:rPr>
          <w:rFonts w:hint="eastAsia" w:ascii="Times New Roman" w:hAnsi="Times New Roman" w:eastAsia="仿宋" w:cs="Times New Roman"/>
          <w:b/>
          <w:bCs/>
          <w:color w:val="auto"/>
          <w:sz w:val="30"/>
          <w:szCs w:val="30"/>
        </w:rPr>
        <w:t>2、健全非常规水源利用体制机制</w:t>
      </w:r>
    </w:p>
    <w:p>
      <w:pPr>
        <w:keepNext w:val="0"/>
        <w:keepLines w:val="0"/>
        <w:pageBreakBefore w:val="0"/>
        <w:kinsoku/>
        <w:wordWrap/>
        <w:overflowPunct/>
        <w:topLinePunct w:val="0"/>
        <w:autoSpaceDE/>
        <w:autoSpaceDN/>
        <w:bidi w:val="0"/>
        <w:adjustRightInd w:val="0"/>
        <w:spacing w:line="360" w:lineRule="auto"/>
        <w:ind w:firstLine="600" w:firstLineChars="200"/>
        <w:contextualSpacing/>
        <w:textAlignment w:val="auto"/>
        <w:rPr>
          <w:rFonts w:ascii="Times New Roman" w:hAnsi="Times New Roman" w:eastAsia="仿宋" w:cs="Times New Roman"/>
          <w:color w:val="auto"/>
          <w:sz w:val="30"/>
          <w:szCs w:val="30"/>
        </w:rPr>
      </w:pPr>
      <w:r>
        <w:rPr>
          <w:rFonts w:hint="eastAsia" w:ascii="Times New Roman" w:hAnsi="Times New Roman" w:eastAsia="仿宋" w:cs="Times New Roman"/>
          <w:color w:val="auto"/>
          <w:sz w:val="30"/>
          <w:szCs w:val="30"/>
        </w:rPr>
        <w:t>完善非常规水源技术标准规范，建立健全促进非常规水源利用的法规、政策、财税体系。把非常规水源利用和节水工作摆在相同位置，优先考虑采用非常规水源代替解决缺水地区的用水需求，提高政策扶持力度，扩大投资渠道，鼓励引导社会资本参与非常规水源工程建设与运营。强化非常规水源利用监督管理，火电、石化、钢铁、有色、造纸、印染等高耗水行业项目具备使用再生水条件但未有效利用的，要严格控制新增取水许可或核减其年计划用水总量。</w:t>
      </w:r>
    </w:p>
    <w:p>
      <w:pPr>
        <w:keepNext w:val="0"/>
        <w:keepLines w:val="0"/>
        <w:pageBreakBefore w:val="0"/>
        <w:kinsoku/>
        <w:wordWrap/>
        <w:overflowPunct/>
        <w:topLinePunct w:val="0"/>
        <w:autoSpaceDE/>
        <w:autoSpaceDN/>
        <w:bidi w:val="0"/>
        <w:adjustRightInd w:val="0"/>
        <w:spacing w:line="360" w:lineRule="auto"/>
        <w:ind w:firstLine="600" w:firstLineChars="200"/>
        <w:contextualSpacing/>
        <w:textAlignment w:val="auto"/>
        <w:rPr>
          <w:rFonts w:eastAsia="仿宋"/>
          <w:color w:val="auto"/>
          <w:sz w:val="30"/>
          <w:szCs w:val="30"/>
        </w:rPr>
      </w:pPr>
      <w:r>
        <w:rPr>
          <w:rFonts w:hint="eastAsia" w:ascii="Times New Roman" w:hAnsi="Times New Roman" w:eastAsia="仿宋" w:cs="Times New Roman"/>
          <w:color w:val="auto"/>
          <w:sz w:val="30"/>
          <w:szCs w:val="30"/>
        </w:rPr>
        <w:t>引进、推广、创新适用技术，降低非常规水源利用成本，发挥经济杠杆调控作用，吸引更多的需水用户</w:t>
      </w:r>
      <w:r>
        <w:rPr>
          <w:rFonts w:hint="eastAsia" w:ascii="Times New Roman" w:hAnsi="Times New Roman" w:eastAsia="仿宋" w:cs="Times New Roman"/>
          <w:color w:val="auto"/>
          <w:sz w:val="30"/>
          <w:szCs w:val="30"/>
          <w:lang w:eastAsia="zh-CN"/>
        </w:rPr>
        <w:t>使用非常规水源</w:t>
      </w:r>
      <w:r>
        <w:rPr>
          <w:rFonts w:hint="eastAsia" w:ascii="Times New Roman" w:hAnsi="Times New Roman" w:eastAsia="仿宋" w:cs="Times New Roman"/>
          <w:color w:val="auto"/>
          <w:sz w:val="30"/>
          <w:szCs w:val="30"/>
        </w:rPr>
        <w:t>。同时积极开展非常规水利用的宣传示范引导工作，对非常规水的重要价值和安全性进行有效宣传，转变传统的用水观念，增强公众对非常规水源利用的认识。</w:t>
      </w:r>
    </w:p>
    <w:p>
      <w:pPr>
        <w:pStyle w:val="4"/>
        <w:keepNext w:val="0"/>
        <w:keepLines w:val="0"/>
        <w:pageBreakBefore w:val="0"/>
        <w:kinsoku/>
        <w:wordWrap/>
        <w:overflowPunct/>
        <w:topLinePunct w:val="0"/>
        <w:autoSpaceDE/>
        <w:autoSpaceDN/>
        <w:bidi w:val="0"/>
        <w:spacing w:before="217" w:beforeLines="50" w:after="217" w:afterLines="50" w:line="360" w:lineRule="auto"/>
        <w:ind w:firstLine="640" w:firstLineChars="200"/>
        <w:contextualSpacing/>
        <w:textAlignment w:val="auto"/>
        <w:rPr>
          <w:rFonts w:ascii="黑体" w:hAnsi="黑体" w:eastAsia="黑体" w:cs="Times New Roman"/>
          <w:b w:val="0"/>
          <w:bCs w:val="0"/>
          <w:color w:val="auto"/>
          <w:sz w:val="32"/>
        </w:rPr>
      </w:pPr>
      <w:bookmarkStart w:id="30" w:name="_Toc27949"/>
      <w:r>
        <w:rPr>
          <w:rFonts w:hint="eastAsia" w:ascii="黑体" w:hAnsi="黑体" w:eastAsia="黑体" w:cs="Times New Roman"/>
          <w:b w:val="0"/>
          <w:bCs w:val="0"/>
          <w:color w:val="auto"/>
          <w:sz w:val="32"/>
          <w:lang w:eastAsia="zh-CN"/>
        </w:rPr>
        <w:t>五</w:t>
      </w:r>
      <w:r>
        <w:rPr>
          <w:rFonts w:hint="eastAsia" w:ascii="黑体" w:hAnsi="黑体" w:eastAsia="黑体" w:cs="Times New Roman"/>
          <w:b w:val="0"/>
          <w:bCs w:val="0"/>
          <w:color w:val="auto"/>
          <w:sz w:val="32"/>
        </w:rPr>
        <w:t>、保障措施</w:t>
      </w:r>
      <w:bookmarkEnd w:id="30"/>
    </w:p>
    <w:p>
      <w:pPr>
        <w:pStyle w:val="4"/>
        <w:keepNext w:val="0"/>
        <w:keepLines w:val="0"/>
        <w:pageBreakBefore w:val="0"/>
        <w:kinsoku/>
        <w:wordWrap/>
        <w:overflowPunct/>
        <w:topLinePunct w:val="0"/>
        <w:autoSpaceDE/>
        <w:autoSpaceDN/>
        <w:bidi w:val="0"/>
        <w:spacing w:before="217" w:beforeLines="50" w:after="217" w:afterLines="50" w:line="360" w:lineRule="auto"/>
        <w:ind w:firstLine="642" w:firstLineChars="200"/>
        <w:contextualSpacing/>
        <w:textAlignment w:val="auto"/>
        <w:rPr>
          <w:rFonts w:ascii="仿宋" w:hAnsi="仿宋" w:cs="仿宋"/>
          <w:color w:val="auto"/>
          <w:sz w:val="32"/>
        </w:rPr>
      </w:pPr>
      <w:bookmarkStart w:id="31" w:name="_Toc24874"/>
      <w:r>
        <w:rPr>
          <w:rFonts w:hint="eastAsia" w:ascii="仿宋" w:hAnsi="仿宋" w:cs="仿宋"/>
          <w:color w:val="auto"/>
          <w:sz w:val="32"/>
        </w:rPr>
        <w:t>（一）加强组织协调</w:t>
      </w:r>
      <w:bookmarkEnd w:id="31"/>
    </w:p>
    <w:p>
      <w:pPr>
        <w:pStyle w:val="79"/>
        <w:keepNext w:val="0"/>
        <w:keepLines w:val="0"/>
        <w:pageBreakBefore w:val="0"/>
        <w:kinsoku/>
        <w:wordWrap/>
        <w:overflowPunct/>
        <w:topLinePunct w:val="0"/>
        <w:autoSpaceDE/>
        <w:autoSpaceDN/>
        <w:bidi w:val="0"/>
        <w:spacing w:line="360" w:lineRule="auto"/>
        <w:ind w:firstLine="640"/>
        <w:textAlignment w:val="auto"/>
        <w:rPr>
          <w:rFonts w:hint="eastAsia" w:ascii="Times New Roman" w:hAnsi="Times New Roman" w:eastAsia="仿宋" w:cs="Times New Roman"/>
          <w:color w:val="auto"/>
          <w:kern w:val="2"/>
          <w:sz w:val="30"/>
          <w:szCs w:val="30"/>
          <w:lang w:val="en-US" w:eastAsia="zh-CN" w:bidi="ar-SA"/>
        </w:rPr>
      </w:pPr>
      <w:r>
        <w:rPr>
          <w:rFonts w:hint="eastAsia" w:ascii="Times New Roman" w:hAnsi="Times New Roman" w:eastAsia="仿宋" w:cs="Times New Roman"/>
          <w:color w:val="auto"/>
          <w:kern w:val="2"/>
          <w:sz w:val="30"/>
          <w:szCs w:val="30"/>
          <w:lang w:val="en-US" w:eastAsia="zh-CN" w:bidi="ar-SA"/>
        </w:rPr>
        <w:t>按照自治区统筹，盟市、旗县负责的原则，推动规划实施。自治区水利厅、发改委、农牧厅、工信厅、住建厅、市场监管局等相关部门要加强协作，根据本单位职能职责做好跟踪分析和督促指导，共同推进节水型社会建设。各盟市、旗县要制定区域年度节水型社会建设任务清单，狠抓工作任务落实。</w:t>
      </w:r>
    </w:p>
    <w:p>
      <w:pPr>
        <w:pStyle w:val="4"/>
        <w:keepNext w:val="0"/>
        <w:keepLines w:val="0"/>
        <w:pageBreakBefore w:val="0"/>
        <w:kinsoku/>
        <w:wordWrap/>
        <w:overflowPunct/>
        <w:topLinePunct w:val="0"/>
        <w:autoSpaceDE/>
        <w:autoSpaceDN/>
        <w:bidi w:val="0"/>
        <w:spacing w:before="217" w:beforeLines="50" w:after="217" w:afterLines="50" w:line="360" w:lineRule="auto"/>
        <w:ind w:firstLine="642" w:firstLineChars="200"/>
        <w:contextualSpacing/>
        <w:textAlignment w:val="auto"/>
        <w:rPr>
          <w:rFonts w:ascii="仿宋" w:hAnsi="仿宋" w:cs="仿宋"/>
          <w:color w:val="auto"/>
          <w:sz w:val="32"/>
        </w:rPr>
      </w:pPr>
      <w:bookmarkStart w:id="32" w:name="_Toc26711"/>
      <w:r>
        <w:rPr>
          <w:rFonts w:hint="eastAsia" w:ascii="仿宋" w:hAnsi="仿宋" w:cs="仿宋"/>
          <w:color w:val="auto"/>
          <w:sz w:val="32"/>
        </w:rPr>
        <w:t>（</w:t>
      </w:r>
      <w:r>
        <w:rPr>
          <w:rFonts w:hint="eastAsia" w:ascii="仿宋" w:hAnsi="仿宋" w:cs="仿宋"/>
          <w:color w:val="auto"/>
          <w:sz w:val="32"/>
          <w:lang w:val="en-US" w:eastAsia="zh-CN"/>
        </w:rPr>
        <w:t>二</w:t>
      </w:r>
      <w:r>
        <w:rPr>
          <w:rFonts w:hint="eastAsia" w:ascii="仿宋" w:hAnsi="仿宋" w:cs="仿宋"/>
          <w:color w:val="auto"/>
          <w:sz w:val="32"/>
        </w:rPr>
        <w:t>）健全法规标准</w:t>
      </w:r>
      <w:bookmarkEnd w:id="32"/>
    </w:p>
    <w:p>
      <w:pPr>
        <w:pStyle w:val="79"/>
        <w:keepNext w:val="0"/>
        <w:keepLines w:val="0"/>
        <w:pageBreakBefore w:val="0"/>
        <w:kinsoku/>
        <w:wordWrap/>
        <w:overflowPunct/>
        <w:topLinePunct w:val="0"/>
        <w:autoSpaceDE/>
        <w:autoSpaceDN/>
        <w:bidi w:val="0"/>
        <w:spacing w:line="360" w:lineRule="auto"/>
        <w:ind w:firstLine="640"/>
        <w:textAlignment w:val="auto"/>
        <w:rPr>
          <w:rFonts w:hint="eastAsia" w:ascii="Times New Roman" w:hAnsi="Times New Roman" w:eastAsia="仿宋" w:cs="Times New Roman"/>
          <w:color w:val="auto"/>
          <w:kern w:val="2"/>
          <w:sz w:val="30"/>
          <w:szCs w:val="30"/>
          <w:lang w:val="en-US" w:eastAsia="zh-CN" w:bidi="ar-SA"/>
        </w:rPr>
      </w:pPr>
      <w:r>
        <w:rPr>
          <w:rFonts w:hint="eastAsia" w:ascii="Times New Roman" w:hAnsi="Times New Roman" w:eastAsia="仿宋" w:cs="Times New Roman"/>
          <w:color w:val="auto"/>
          <w:kern w:val="2"/>
          <w:sz w:val="30"/>
          <w:szCs w:val="30"/>
          <w:lang w:val="en-US" w:eastAsia="zh-CN" w:bidi="ar-SA"/>
        </w:rPr>
        <w:t>完善节约用水法律体系，推动国家节约用水条例出台。加强节水标准体系建设，及时更新水效标准，适时修编《内蒙古自治区行业用水定额》，做好标准、定额的宣贯和实施工作。积极参与国家节水标准修订，加强节水标准省区合作交流。推行水效标识制度，扩大产品覆盖品目，打击水效虚标行为。持续推进节水认证工作，将节水认证纳入统一绿色产品认证标识体系，完善绿色结果采信机制。</w:t>
      </w:r>
    </w:p>
    <w:p>
      <w:pPr>
        <w:pStyle w:val="4"/>
        <w:keepNext w:val="0"/>
        <w:keepLines w:val="0"/>
        <w:pageBreakBefore w:val="0"/>
        <w:kinsoku/>
        <w:wordWrap/>
        <w:overflowPunct/>
        <w:topLinePunct w:val="0"/>
        <w:autoSpaceDE/>
        <w:autoSpaceDN/>
        <w:bidi w:val="0"/>
        <w:spacing w:before="217" w:beforeLines="50" w:after="217" w:afterLines="50" w:line="360" w:lineRule="auto"/>
        <w:ind w:firstLine="642" w:firstLineChars="200"/>
        <w:contextualSpacing/>
        <w:textAlignment w:val="auto"/>
        <w:rPr>
          <w:rFonts w:ascii="仿宋" w:hAnsi="仿宋" w:cs="仿宋"/>
          <w:color w:val="auto"/>
          <w:sz w:val="32"/>
        </w:rPr>
      </w:pPr>
      <w:bookmarkStart w:id="33" w:name="_Toc30739"/>
      <w:r>
        <w:rPr>
          <w:rFonts w:hint="eastAsia" w:ascii="仿宋" w:hAnsi="仿宋" w:cs="仿宋"/>
          <w:color w:val="auto"/>
          <w:sz w:val="32"/>
        </w:rPr>
        <w:t>（</w:t>
      </w:r>
      <w:r>
        <w:rPr>
          <w:rFonts w:hint="eastAsia" w:ascii="仿宋" w:hAnsi="仿宋" w:cs="仿宋"/>
          <w:color w:val="auto"/>
          <w:sz w:val="32"/>
          <w:lang w:val="en-US" w:eastAsia="zh-CN"/>
        </w:rPr>
        <w:t>三</w:t>
      </w:r>
      <w:r>
        <w:rPr>
          <w:rFonts w:hint="eastAsia" w:ascii="仿宋" w:hAnsi="仿宋" w:cs="仿宋"/>
          <w:color w:val="auto"/>
          <w:sz w:val="32"/>
        </w:rPr>
        <w:t>）完善投入机制</w:t>
      </w:r>
      <w:bookmarkEnd w:id="33"/>
    </w:p>
    <w:p>
      <w:pPr>
        <w:pStyle w:val="79"/>
        <w:keepNext w:val="0"/>
        <w:keepLines w:val="0"/>
        <w:pageBreakBefore w:val="0"/>
        <w:kinsoku/>
        <w:wordWrap/>
        <w:overflowPunct/>
        <w:topLinePunct w:val="0"/>
        <w:autoSpaceDE/>
        <w:autoSpaceDN/>
        <w:bidi w:val="0"/>
        <w:spacing w:line="360" w:lineRule="auto"/>
        <w:ind w:firstLine="640"/>
        <w:textAlignment w:val="auto"/>
        <w:rPr>
          <w:rFonts w:hint="eastAsia" w:ascii="Times New Roman" w:hAnsi="Times New Roman" w:eastAsia="仿宋" w:cs="Times New Roman"/>
          <w:color w:val="auto"/>
          <w:kern w:val="2"/>
          <w:sz w:val="30"/>
          <w:szCs w:val="30"/>
          <w:lang w:val="en-US" w:eastAsia="zh-CN" w:bidi="ar-SA"/>
        </w:rPr>
      </w:pPr>
      <w:r>
        <w:rPr>
          <w:rFonts w:hint="eastAsia" w:ascii="Times New Roman" w:hAnsi="Times New Roman" w:eastAsia="仿宋" w:cs="Times New Roman"/>
          <w:color w:val="auto"/>
          <w:kern w:val="2"/>
          <w:sz w:val="30"/>
          <w:szCs w:val="30"/>
          <w:lang w:val="en-US" w:eastAsia="zh-CN" w:bidi="ar-SA"/>
        </w:rPr>
        <w:t>强化财政投入保障，鼓励地方构建多元化投入保障机制。鼓励符合条件的企业采用绿色债券、资产证券化等手段，依法依规拓宽融资渠道。规范有序推广政府和社会资本合作模式，引导社会资本积极参与节水项目建设运营。在公共机构、高耗水工业、高耗水服务业、农业灌溉等领域，进一步推行合同节水管理，发展节水服务产业。积极发挥财政职能作用，对节水示范项目给予适当支持。建立完善节水财政奖励机制，依法落实节约用水、非常规水源利用等方面税收等优惠政策。</w:t>
      </w:r>
    </w:p>
    <w:p>
      <w:pPr>
        <w:pStyle w:val="4"/>
        <w:keepNext w:val="0"/>
        <w:keepLines w:val="0"/>
        <w:pageBreakBefore w:val="0"/>
        <w:kinsoku/>
        <w:wordWrap/>
        <w:overflowPunct/>
        <w:topLinePunct w:val="0"/>
        <w:autoSpaceDE/>
        <w:autoSpaceDN/>
        <w:bidi w:val="0"/>
        <w:spacing w:before="217" w:beforeLines="50" w:after="217" w:afterLines="50" w:line="360" w:lineRule="auto"/>
        <w:ind w:firstLine="642" w:firstLineChars="200"/>
        <w:contextualSpacing/>
        <w:textAlignment w:val="auto"/>
        <w:rPr>
          <w:rFonts w:ascii="仿宋" w:hAnsi="仿宋" w:cs="仿宋"/>
          <w:color w:val="auto"/>
          <w:sz w:val="32"/>
        </w:rPr>
      </w:pPr>
      <w:bookmarkStart w:id="34" w:name="_Toc11524"/>
      <w:r>
        <w:rPr>
          <w:rFonts w:hint="eastAsia" w:ascii="仿宋" w:hAnsi="仿宋" w:cs="仿宋"/>
          <w:color w:val="auto"/>
          <w:sz w:val="32"/>
        </w:rPr>
        <w:t>（四）</w:t>
      </w:r>
      <w:bookmarkEnd w:id="34"/>
      <w:bookmarkStart w:id="35" w:name="_Toc9718"/>
      <w:r>
        <w:rPr>
          <w:rFonts w:hint="eastAsia" w:ascii="仿宋" w:hAnsi="仿宋" w:cs="仿宋"/>
          <w:color w:val="auto"/>
          <w:sz w:val="32"/>
        </w:rPr>
        <w:t>强化监督考核</w:t>
      </w:r>
      <w:bookmarkEnd w:id="35"/>
    </w:p>
    <w:p>
      <w:pPr>
        <w:pStyle w:val="8"/>
        <w:keepNext w:val="0"/>
        <w:keepLines w:val="0"/>
        <w:pageBreakBefore w:val="0"/>
        <w:kinsoku/>
        <w:wordWrap/>
        <w:overflowPunct/>
        <w:topLinePunct w:val="0"/>
        <w:autoSpaceDE/>
        <w:autoSpaceDN/>
        <w:bidi w:val="0"/>
        <w:spacing w:line="360" w:lineRule="auto"/>
        <w:ind w:firstLine="640"/>
        <w:textAlignment w:val="auto"/>
        <w:rPr>
          <w:rFonts w:hint="eastAsia" w:ascii="Times New Roman" w:hAnsi="Times New Roman" w:eastAsia="仿宋" w:cs="Times New Roman"/>
          <w:color w:val="auto"/>
          <w:kern w:val="2"/>
          <w:sz w:val="30"/>
          <w:szCs w:val="30"/>
          <w:lang w:val="en-US" w:eastAsia="zh-CN" w:bidi="ar-SA"/>
        </w:rPr>
      </w:pPr>
      <w:r>
        <w:rPr>
          <w:rFonts w:hint="eastAsia" w:ascii="Times New Roman" w:hAnsi="Times New Roman" w:eastAsia="仿宋" w:cs="Times New Roman"/>
          <w:color w:val="auto"/>
          <w:kern w:val="2"/>
          <w:sz w:val="30"/>
          <w:szCs w:val="30"/>
          <w:lang w:val="en-US" w:eastAsia="zh-CN" w:bidi="ar-SA"/>
        </w:rPr>
        <w:t>强化水资源管理考核和取用水管理，将节水纳入经济社会发展综合评价体系、纳入河长制考核和政绩考核，明确责任单位和责任人，压实工作责任。加强对各责任部门的督促检查，严格责任追究。完善公众参与机制，充分发挥舆论监管、社会监督和行业自律作用，推动节水多元共治。</w:t>
      </w:r>
    </w:p>
    <w:sectPr>
      <w:headerReference r:id="rId8" w:type="default"/>
      <w:footerReference r:id="rId9" w:type="default"/>
      <w:pgSz w:w="11906" w:h="16838"/>
      <w:pgMar w:top="1440" w:right="1797" w:bottom="1440" w:left="1797" w:header="851" w:footer="992"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仿宋_GB2312"/>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7590263"/>
    </w:sdtPr>
    <w:sdtEndPr>
      <w:rPr>
        <w:rFonts w:ascii="宋体" w:hAnsi="宋体" w:eastAsia="宋体"/>
        <w:sz w:val="21"/>
        <w:szCs w:val="21"/>
      </w:rPr>
    </w:sdtEndPr>
    <w:sdtContent>
      <w:sdt>
        <w:sdtPr>
          <w:id w:val="-1899043670"/>
        </w:sdtPr>
        <w:sdtEndPr>
          <w:rPr>
            <w:rFonts w:ascii="宋体" w:hAnsi="宋体" w:eastAsia="宋体"/>
            <w:sz w:val="21"/>
            <w:szCs w:val="21"/>
          </w:rPr>
        </w:sdtEndPr>
        <w:sdtContent>
          <w:p>
            <w:pPr>
              <w:pStyle w:val="18"/>
              <w:ind w:firstLine="0" w:firstLineChars="0"/>
              <w:jc w:val="center"/>
            </w:pPr>
            <w:r>
              <w:rPr>
                <w:rFonts w:hint="eastAsia" w:ascii="黑体" w:hAnsi="黑体" w:eastAsia="黑体"/>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-13970</wp:posOffset>
                      </wp:positionV>
                      <wp:extent cx="528637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286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16.25pt;z-index:251661312;mso-width-relative:page;mso-height-relative:page;" filled="f" stroked="t" coordsize="21600,21600" o:gfxdata="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Gl3gNTUAAAABgEAAA8AAAAA&#10;AAAAAQAgAAAAOAAAAGRycy9kb3ducmV2LnhtbFBLAQIUABQAAAAIAIdO4kA0RrkZyQEAAGUDAAAO&#10;AAAAAAAAAAEAIAAAADkBAABkcnMvZTJvRG9jLnhtbFBLBQYAAAAABgAGAFkBAAB0BQAAAAA=&#10;">
                      <v:fill on="f" focussize="0,0"/>
                      <v:stroke weight="0.5pt" color="#000000 [3213]" miterlimit="8" joinstyle="miter"/>
                      <v:imagedata o:title=""/>
                      <o:lock v:ext="edit" aspectratio="f"/>
                    </v:line>
                  </w:pict>
                </mc:Fallback>
              </mc:AlternateContent>
            </w: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WordPictureWatermark4169489" o:spid="_x0000_s4098" o:spt="75" type="#_x0000_t75" style="position:absolute;left:0pt;height:239.3pt;width:239.7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水印"/>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WordPictureWatermark4169488" o:spid="_x0000_s4097" o:spt="75" type="#_x0000_t75" style="position:absolute;left:0pt;height:239.3pt;width:239.7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仿宋" w:hAnsi="仿宋" w:eastAsia="仿宋"/>
        <w:sz w:val="24"/>
        <w:szCs w:val="24"/>
      </w:rPr>
    </w:pPr>
    <w:r>
      <w:rPr>
        <w:rFonts w:hint="eastAsia" w:ascii="仿宋" w:hAnsi="仿宋" w:eastAsia="仿宋"/>
        <w:sz w:val="24"/>
        <w:szCs w:val="24"/>
      </w:rPr>
      <w:t>内蒙古自治区“十四五”节水型社会建设规划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420"/>
  <w:drawingGridHorizontalSpacing w:val="107"/>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1F"/>
    <w:rsid w:val="00000DE9"/>
    <w:rsid w:val="00010198"/>
    <w:rsid w:val="0001024E"/>
    <w:rsid w:val="00021851"/>
    <w:rsid w:val="00022F5F"/>
    <w:rsid w:val="00023FD6"/>
    <w:rsid w:val="00026673"/>
    <w:rsid w:val="000309AB"/>
    <w:rsid w:val="0003592E"/>
    <w:rsid w:val="00035C7A"/>
    <w:rsid w:val="00036887"/>
    <w:rsid w:val="00040620"/>
    <w:rsid w:val="000430CC"/>
    <w:rsid w:val="00044441"/>
    <w:rsid w:val="000448C2"/>
    <w:rsid w:val="00045DFE"/>
    <w:rsid w:val="00046266"/>
    <w:rsid w:val="00046E8B"/>
    <w:rsid w:val="00051F46"/>
    <w:rsid w:val="000523B3"/>
    <w:rsid w:val="00052C2E"/>
    <w:rsid w:val="00052F6D"/>
    <w:rsid w:val="000531D9"/>
    <w:rsid w:val="00053234"/>
    <w:rsid w:val="00054382"/>
    <w:rsid w:val="00060085"/>
    <w:rsid w:val="00060CE4"/>
    <w:rsid w:val="00063664"/>
    <w:rsid w:val="00065A46"/>
    <w:rsid w:val="0006632B"/>
    <w:rsid w:val="000707CF"/>
    <w:rsid w:val="00073222"/>
    <w:rsid w:val="00074D99"/>
    <w:rsid w:val="0007540A"/>
    <w:rsid w:val="00077C27"/>
    <w:rsid w:val="0008014F"/>
    <w:rsid w:val="00081485"/>
    <w:rsid w:val="000835B5"/>
    <w:rsid w:val="000835CC"/>
    <w:rsid w:val="00084027"/>
    <w:rsid w:val="0008647B"/>
    <w:rsid w:val="0009019E"/>
    <w:rsid w:val="0009047D"/>
    <w:rsid w:val="00090AE6"/>
    <w:rsid w:val="00093931"/>
    <w:rsid w:val="0009461B"/>
    <w:rsid w:val="000A0204"/>
    <w:rsid w:val="000A222B"/>
    <w:rsid w:val="000A247D"/>
    <w:rsid w:val="000A2A37"/>
    <w:rsid w:val="000A33BB"/>
    <w:rsid w:val="000A3492"/>
    <w:rsid w:val="000A399E"/>
    <w:rsid w:val="000A40A2"/>
    <w:rsid w:val="000A4710"/>
    <w:rsid w:val="000A5D30"/>
    <w:rsid w:val="000A5FA0"/>
    <w:rsid w:val="000A7482"/>
    <w:rsid w:val="000B080E"/>
    <w:rsid w:val="000B2C2D"/>
    <w:rsid w:val="000B2C7D"/>
    <w:rsid w:val="000B3503"/>
    <w:rsid w:val="000B5684"/>
    <w:rsid w:val="000C0050"/>
    <w:rsid w:val="000C09D9"/>
    <w:rsid w:val="000C4B72"/>
    <w:rsid w:val="000D7E0B"/>
    <w:rsid w:val="000D7ED8"/>
    <w:rsid w:val="000E0369"/>
    <w:rsid w:val="000E1001"/>
    <w:rsid w:val="000E2FA5"/>
    <w:rsid w:val="000E3720"/>
    <w:rsid w:val="000E3B6C"/>
    <w:rsid w:val="000E44BA"/>
    <w:rsid w:val="000E4690"/>
    <w:rsid w:val="000E5526"/>
    <w:rsid w:val="000E619D"/>
    <w:rsid w:val="000E6F2E"/>
    <w:rsid w:val="000F0804"/>
    <w:rsid w:val="000F0FB2"/>
    <w:rsid w:val="000F21B4"/>
    <w:rsid w:val="000F38BF"/>
    <w:rsid w:val="000F673D"/>
    <w:rsid w:val="001005F0"/>
    <w:rsid w:val="00100622"/>
    <w:rsid w:val="00103EFD"/>
    <w:rsid w:val="00106828"/>
    <w:rsid w:val="00113FE8"/>
    <w:rsid w:val="00115ECA"/>
    <w:rsid w:val="001169D5"/>
    <w:rsid w:val="0011747B"/>
    <w:rsid w:val="00117A35"/>
    <w:rsid w:val="00120147"/>
    <w:rsid w:val="00124803"/>
    <w:rsid w:val="00124E52"/>
    <w:rsid w:val="0012538D"/>
    <w:rsid w:val="001301DA"/>
    <w:rsid w:val="00130849"/>
    <w:rsid w:val="00131A4A"/>
    <w:rsid w:val="001326DD"/>
    <w:rsid w:val="001336FA"/>
    <w:rsid w:val="001338B2"/>
    <w:rsid w:val="0013524B"/>
    <w:rsid w:val="00140BDB"/>
    <w:rsid w:val="00140C8F"/>
    <w:rsid w:val="00143374"/>
    <w:rsid w:val="00143375"/>
    <w:rsid w:val="00143B2C"/>
    <w:rsid w:val="00143D33"/>
    <w:rsid w:val="00146C02"/>
    <w:rsid w:val="0014710A"/>
    <w:rsid w:val="00151D6F"/>
    <w:rsid w:val="001522B6"/>
    <w:rsid w:val="001533E0"/>
    <w:rsid w:val="00153F7B"/>
    <w:rsid w:val="001549CB"/>
    <w:rsid w:val="00155033"/>
    <w:rsid w:val="00160213"/>
    <w:rsid w:val="001619ED"/>
    <w:rsid w:val="0016263E"/>
    <w:rsid w:val="0016456B"/>
    <w:rsid w:val="00164F42"/>
    <w:rsid w:val="001650EA"/>
    <w:rsid w:val="001709AC"/>
    <w:rsid w:val="0017165F"/>
    <w:rsid w:val="00172278"/>
    <w:rsid w:val="001737AF"/>
    <w:rsid w:val="00176B88"/>
    <w:rsid w:val="00177634"/>
    <w:rsid w:val="00177663"/>
    <w:rsid w:val="001839D1"/>
    <w:rsid w:val="00186E7C"/>
    <w:rsid w:val="001923F4"/>
    <w:rsid w:val="00193F2C"/>
    <w:rsid w:val="00193FB7"/>
    <w:rsid w:val="00194AC3"/>
    <w:rsid w:val="00194D53"/>
    <w:rsid w:val="00194F11"/>
    <w:rsid w:val="00197A89"/>
    <w:rsid w:val="001A1FE8"/>
    <w:rsid w:val="001A21C7"/>
    <w:rsid w:val="001A4181"/>
    <w:rsid w:val="001A4370"/>
    <w:rsid w:val="001A48D4"/>
    <w:rsid w:val="001A5461"/>
    <w:rsid w:val="001A7114"/>
    <w:rsid w:val="001A768E"/>
    <w:rsid w:val="001B2DD7"/>
    <w:rsid w:val="001B3DA0"/>
    <w:rsid w:val="001B3E66"/>
    <w:rsid w:val="001B4607"/>
    <w:rsid w:val="001B5739"/>
    <w:rsid w:val="001C0122"/>
    <w:rsid w:val="001C02F6"/>
    <w:rsid w:val="001C0543"/>
    <w:rsid w:val="001C2301"/>
    <w:rsid w:val="001C3E65"/>
    <w:rsid w:val="001C4228"/>
    <w:rsid w:val="001D092E"/>
    <w:rsid w:val="001D2379"/>
    <w:rsid w:val="001D2980"/>
    <w:rsid w:val="001D2ED5"/>
    <w:rsid w:val="001D2F6D"/>
    <w:rsid w:val="001D54F1"/>
    <w:rsid w:val="001E0B59"/>
    <w:rsid w:val="001E0D90"/>
    <w:rsid w:val="001E1565"/>
    <w:rsid w:val="001E3CCE"/>
    <w:rsid w:val="001E542D"/>
    <w:rsid w:val="001E562D"/>
    <w:rsid w:val="001E6939"/>
    <w:rsid w:val="001F2C08"/>
    <w:rsid w:val="001F3A64"/>
    <w:rsid w:val="001F4B20"/>
    <w:rsid w:val="001F6313"/>
    <w:rsid w:val="00200506"/>
    <w:rsid w:val="002038F5"/>
    <w:rsid w:val="00205889"/>
    <w:rsid w:val="00206FCD"/>
    <w:rsid w:val="002074D0"/>
    <w:rsid w:val="00213580"/>
    <w:rsid w:val="00213C1A"/>
    <w:rsid w:val="002145BA"/>
    <w:rsid w:val="00215A88"/>
    <w:rsid w:val="00216F2D"/>
    <w:rsid w:val="002178CF"/>
    <w:rsid w:val="00223441"/>
    <w:rsid w:val="00223949"/>
    <w:rsid w:val="00230052"/>
    <w:rsid w:val="00234F4B"/>
    <w:rsid w:val="002361D4"/>
    <w:rsid w:val="00236B19"/>
    <w:rsid w:val="00242CC5"/>
    <w:rsid w:val="00243AC5"/>
    <w:rsid w:val="00247968"/>
    <w:rsid w:val="0025016E"/>
    <w:rsid w:val="002508C9"/>
    <w:rsid w:val="002516E1"/>
    <w:rsid w:val="00253333"/>
    <w:rsid w:val="00254064"/>
    <w:rsid w:val="0025666E"/>
    <w:rsid w:val="0025782F"/>
    <w:rsid w:val="002615D3"/>
    <w:rsid w:val="00262CAB"/>
    <w:rsid w:val="002647A8"/>
    <w:rsid w:val="00266CBE"/>
    <w:rsid w:val="00272AD0"/>
    <w:rsid w:val="00276832"/>
    <w:rsid w:val="0028002A"/>
    <w:rsid w:val="0028187A"/>
    <w:rsid w:val="0028397F"/>
    <w:rsid w:val="00286280"/>
    <w:rsid w:val="00287D35"/>
    <w:rsid w:val="00290E17"/>
    <w:rsid w:val="0029118B"/>
    <w:rsid w:val="002930D3"/>
    <w:rsid w:val="00294376"/>
    <w:rsid w:val="00295182"/>
    <w:rsid w:val="00295E7C"/>
    <w:rsid w:val="00296D97"/>
    <w:rsid w:val="002A2857"/>
    <w:rsid w:val="002A41FC"/>
    <w:rsid w:val="002A7056"/>
    <w:rsid w:val="002A7E0C"/>
    <w:rsid w:val="002B06E8"/>
    <w:rsid w:val="002B0D14"/>
    <w:rsid w:val="002B1CAD"/>
    <w:rsid w:val="002B3D54"/>
    <w:rsid w:val="002B3F01"/>
    <w:rsid w:val="002B4ECE"/>
    <w:rsid w:val="002B639D"/>
    <w:rsid w:val="002C019C"/>
    <w:rsid w:val="002C0AB8"/>
    <w:rsid w:val="002C0FD4"/>
    <w:rsid w:val="002C1466"/>
    <w:rsid w:val="002C566C"/>
    <w:rsid w:val="002D08DC"/>
    <w:rsid w:val="002D1B5C"/>
    <w:rsid w:val="002D2844"/>
    <w:rsid w:val="002D4BB7"/>
    <w:rsid w:val="002D6063"/>
    <w:rsid w:val="002D77E9"/>
    <w:rsid w:val="002E0203"/>
    <w:rsid w:val="002E2DC0"/>
    <w:rsid w:val="002E47DD"/>
    <w:rsid w:val="002E5A4A"/>
    <w:rsid w:val="002E5B3E"/>
    <w:rsid w:val="002E6202"/>
    <w:rsid w:val="002E6EE5"/>
    <w:rsid w:val="002F53B1"/>
    <w:rsid w:val="002F6A46"/>
    <w:rsid w:val="00304D85"/>
    <w:rsid w:val="00305193"/>
    <w:rsid w:val="00307717"/>
    <w:rsid w:val="00307AA1"/>
    <w:rsid w:val="0031351D"/>
    <w:rsid w:val="003217FA"/>
    <w:rsid w:val="00324267"/>
    <w:rsid w:val="00325EAE"/>
    <w:rsid w:val="00326B58"/>
    <w:rsid w:val="00327F49"/>
    <w:rsid w:val="0033036C"/>
    <w:rsid w:val="00330D1D"/>
    <w:rsid w:val="00332BBC"/>
    <w:rsid w:val="0033564E"/>
    <w:rsid w:val="00335AF3"/>
    <w:rsid w:val="00335CF2"/>
    <w:rsid w:val="00336D9C"/>
    <w:rsid w:val="003376E5"/>
    <w:rsid w:val="003451E2"/>
    <w:rsid w:val="00347A14"/>
    <w:rsid w:val="00350C5E"/>
    <w:rsid w:val="003511DA"/>
    <w:rsid w:val="003518EE"/>
    <w:rsid w:val="00353E29"/>
    <w:rsid w:val="00354429"/>
    <w:rsid w:val="003548C0"/>
    <w:rsid w:val="00354B53"/>
    <w:rsid w:val="00364F79"/>
    <w:rsid w:val="00365290"/>
    <w:rsid w:val="00367705"/>
    <w:rsid w:val="003704B2"/>
    <w:rsid w:val="00371227"/>
    <w:rsid w:val="00371B50"/>
    <w:rsid w:val="003724F4"/>
    <w:rsid w:val="00372F0C"/>
    <w:rsid w:val="00372F5F"/>
    <w:rsid w:val="00381AFB"/>
    <w:rsid w:val="00381F53"/>
    <w:rsid w:val="003823A2"/>
    <w:rsid w:val="00382F1A"/>
    <w:rsid w:val="00386027"/>
    <w:rsid w:val="00387954"/>
    <w:rsid w:val="003909B0"/>
    <w:rsid w:val="003914C9"/>
    <w:rsid w:val="00394F9E"/>
    <w:rsid w:val="003965D0"/>
    <w:rsid w:val="00397B27"/>
    <w:rsid w:val="003A0654"/>
    <w:rsid w:val="003A07BC"/>
    <w:rsid w:val="003A1425"/>
    <w:rsid w:val="003A383F"/>
    <w:rsid w:val="003A3F1D"/>
    <w:rsid w:val="003B43FF"/>
    <w:rsid w:val="003B4422"/>
    <w:rsid w:val="003B44AB"/>
    <w:rsid w:val="003B4658"/>
    <w:rsid w:val="003B4AE8"/>
    <w:rsid w:val="003C00E4"/>
    <w:rsid w:val="003C0B36"/>
    <w:rsid w:val="003C24AA"/>
    <w:rsid w:val="003C29EB"/>
    <w:rsid w:val="003C4620"/>
    <w:rsid w:val="003C49FE"/>
    <w:rsid w:val="003C5AA3"/>
    <w:rsid w:val="003C6B15"/>
    <w:rsid w:val="003C74EC"/>
    <w:rsid w:val="003D10BF"/>
    <w:rsid w:val="003D149C"/>
    <w:rsid w:val="003D15A7"/>
    <w:rsid w:val="003D7324"/>
    <w:rsid w:val="003E07C8"/>
    <w:rsid w:val="003E323D"/>
    <w:rsid w:val="003E3BAC"/>
    <w:rsid w:val="003E3FE7"/>
    <w:rsid w:val="003E46E1"/>
    <w:rsid w:val="003E53D8"/>
    <w:rsid w:val="003E6F5A"/>
    <w:rsid w:val="003F2C81"/>
    <w:rsid w:val="003F31EF"/>
    <w:rsid w:val="00400CDA"/>
    <w:rsid w:val="004022B8"/>
    <w:rsid w:val="0040275A"/>
    <w:rsid w:val="0040446D"/>
    <w:rsid w:val="004059E9"/>
    <w:rsid w:val="004073C7"/>
    <w:rsid w:val="00407793"/>
    <w:rsid w:val="0041085D"/>
    <w:rsid w:val="00410AA0"/>
    <w:rsid w:val="004112BF"/>
    <w:rsid w:val="00414E54"/>
    <w:rsid w:val="004162AE"/>
    <w:rsid w:val="004165C3"/>
    <w:rsid w:val="00416E81"/>
    <w:rsid w:val="004171B4"/>
    <w:rsid w:val="00421B05"/>
    <w:rsid w:val="004239B8"/>
    <w:rsid w:val="00423A69"/>
    <w:rsid w:val="00424600"/>
    <w:rsid w:val="004303FC"/>
    <w:rsid w:val="00430820"/>
    <w:rsid w:val="004329B6"/>
    <w:rsid w:val="00433DF8"/>
    <w:rsid w:val="004379FC"/>
    <w:rsid w:val="00442000"/>
    <w:rsid w:val="00443198"/>
    <w:rsid w:val="00444F48"/>
    <w:rsid w:val="004456DC"/>
    <w:rsid w:val="00445DC5"/>
    <w:rsid w:val="00447F7A"/>
    <w:rsid w:val="00450A49"/>
    <w:rsid w:val="00450CDB"/>
    <w:rsid w:val="0045263C"/>
    <w:rsid w:val="004532C0"/>
    <w:rsid w:val="004532F5"/>
    <w:rsid w:val="00453B9D"/>
    <w:rsid w:val="00455D67"/>
    <w:rsid w:val="00461EAD"/>
    <w:rsid w:val="00465848"/>
    <w:rsid w:val="00465D90"/>
    <w:rsid w:val="00466FEF"/>
    <w:rsid w:val="00467D8F"/>
    <w:rsid w:val="00470782"/>
    <w:rsid w:val="00470AE3"/>
    <w:rsid w:val="0047220E"/>
    <w:rsid w:val="00472711"/>
    <w:rsid w:val="0047274A"/>
    <w:rsid w:val="00473018"/>
    <w:rsid w:val="00473219"/>
    <w:rsid w:val="0047583E"/>
    <w:rsid w:val="00485B12"/>
    <w:rsid w:val="00491E81"/>
    <w:rsid w:val="00492286"/>
    <w:rsid w:val="004922DA"/>
    <w:rsid w:val="004A0C59"/>
    <w:rsid w:val="004A1948"/>
    <w:rsid w:val="004A4731"/>
    <w:rsid w:val="004A5487"/>
    <w:rsid w:val="004A6E92"/>
    <w:rsid w:val="004B0636"/>
    <w:rsid w:val="004B1BC5"/>
    <w:rsid w:val="004B3C43"/>
    <w:rsid w:val="004B3E28"/>
    <w:rsid w:val="004B6E24"/>
    <w:rsid w:val="004C1785"/>
    <w:rsid w:val="004C17C0"/>
    <w:rsid w:val="004C1E4A"/>
    <w:rsid w:val="004C3D86"/>
    <w:rsid w:val="004C6936"/>
    <w:rsid w:val="004D1E43"/>
    <w:rsid w:val="004D4E1F"/>
    <w:rsid w:val="004D5507"/>
    <w:rsid w:val="004D5831"/>
    <w:rsid w:val="004E2388"/>
    <w:rsid w:val="004E33CB"/>
    <w:rsid w:val="004E4EF8"/>
    <w:rsid w:val="004E5303"/>
    <w:rsid w:val="004E6F16"/>
    <w:rsid w:val="004F1947"/>
    <w:rsid w:val="004F5E28"/>
    <w:rsid w:val="004F7167"/>
    <w:rsid w:val="004F727F"/>
    <w:rsid w:val="005025A1"/>
    <w:rsid w:val="00515424"/>
    <w:rsid w:val="0051559C"/>
    <w:rsid w:val="0051576F"/>
    <w:rsid w:val="00516304"/>
    <w:rsid w:val="00516B63"/>
    <w:rsid w:val="005173F8"/>
    <w:rsid w:val="00517FDC"/>
    <w:rsid w:val="00520015"/>
    <w:rsid w:val="00520F32"/>
    <w:rsid w:val="00521A5C"/>
    <w:rsid w:val="005236E1"/>
    <w:rsid w:val="00523EE2"/>
    <w:rsid w:val="0052495E"/>
    <w:rsid w:val="005252C6"/>
    <w:rsid w:val="00527AF0"/>
    <w:rsid w:val="00535039"/>
    <w:rsid w:val="005368C2"/>
    <w:rsid w:val="005406A1"/>
    <w:rsid w:val="005408A2"/>
    <w:rsid w:val="00540B8D"/>
    <w:rsid w:val="00541361"/>
    <w:rsid w:val="005421F9"/>
    <w:rsid w:val="00542C32"/>
    <w:rsid w:val="005438AE"/>
    <w:rsid w:val="0054575D"/>
    <w:rsid w:val="00545849"/>
    <w:rsid w:val="00545CF7"/>
    <w:rsid w:val="005512E8"/>
    <w:rsid w:val="005527E3"/>
    <w:rsid w:val="005533D3"/>
    <w:rsid w:val="00554A66"/>
    <w:rsid w:val="00555879"/>
    <w:rsid w:val="00555BB5"/>
    <w:rsid w:val="005602DB"/>
    <w:rsid w:val="00561547"/>
    <w:rsid w:val="0057064E"/>
    <w:rsid w:val="00572521"/>
    <w:rsid w:val="00575741"/>
    <w:rsid w:val="00575AA6"/>
    <w:rsid w:val="00576B82"/>
    <w:rsid w:val="00577BE6"/>
    <w:rsid w:val="005803BF"/>
    <w:rsid w:val="00582E08"/>
    <w:rsid w:val="005834F2"/>
    <w:rsid w:val="00585B91"/>
    <w:rsid w:val="005873FE"/>
    <w:rsid w:val="00593394"/>
    <w:rsid w:val="0059624C"/>
    <w:rsid w:val="005A0044"/>
    <w:rsid w:val="005A3CB1"/>
    <w:rsid w:val="005A41D4"/>
    <w:rsid w:val="005A50A5"/>
    <w:rsid w:val="005A60D4"/>
    <w:rsid w:val="005A6EDB"/>
    <w:rsid w:val="005A7F0E"/>
    <w:rsid w:val="005B34A7"/>
    <w:rsid w:val="005B5D1F"/>
    <w:rsid w:val="005B75F3"/>
    <w:rsid w:val="005B783D"/>
    <w:rsid w:val="005B7E86"/>
    <w:rsid w:val="005C0501"/>
    <w:rsid w:val="005C0695"/>
    <w:rsid w:val="005C089C"/>
    <w:rsid w:val="005C114B"/>
    <w:rsid w:val="005C1C10"/>
    <w:rsid w:val="005C2FCF"/>
    <w:rsid w:val="005C581D"/>
    <w:rsid w:val="005C6B54"/>
    <w:rsid w:val="005D46E4"/>
    <w:rsid w:val="005D4D7C"/>
    <w:rsid w:val="005D4E0B"/>
    <w:rsid w:val="005D7276"/>
    <w:rsid w:val="005E0FE3"/>
    <w:rsid w:val="005E1D13"/>
    <w:rsid w:val="005E30CD"/>
    <w:rsid w:val="005E63A2"/>
    <w:rsid w:val="005F0F5F"/>
    <w:rsid w:val="005F1B73"/>
    <w:rsid w:val="005F2205"/>
    <w:rsid w:val="005F3830"/>
    <w:rsid w:val="005F41DB"/>
    <w:rsid w:val="005F4D98"/>
    <w:rsid w:val="005F59BD"/>
    <w:rsid w:val="005F695F"/>
    <w:rsid w:val="005F6F5B"/>
    <w:rsid w:val="005F7613"/>
    <w:rsid w:val="00604E1A"/>
    <w:rsid w:val="00610CC7"/>
    <w:rsid w:val="00610FB1"/>
    <w:rsid w:val="00612B78"/>
    <w:rsid w:val="00612F12"/>
    <w:rsid w:val="00613161"/>
    <w:rsid w:val="00613DF4"/>
    <w:rsid w:val="00614B54"/>
    <w:rsid w:val="00615DDB"/>
    <w:rsid w:val="006165AD"/>
    <w:rsid w:val="0061693A"/>
    <w:rsid w:val="00622180"/>
    <w:rsid w:val="006224F4"/>
    <w:rsid w:val="00623771"/>
    <w:rsid w:val="00623EB9"/>
    <w:rsid w:val="0062436B"/>
    <w:rsid w:val="006245CE"/>
    <w:rsid w:val="00624628"/>
    <w:rsid w:val="00624AB0"/>
    <w:rsid w:val="00625A72"/>
    <w:rsid w:val="00626124"/>
    <w:rsid w:val="00626905"/>
    <w:rsid w:val="00627F18"/>
    <w:rsid w:val="006317AB"/>
    <w:rsid w:val="00632741"/>
    <w:rsid w:val="00635A6B"/>
    <w:rsid w:val="00641D18"/>
    <w:rsid w:val="006428FD"/>
    <w:rsid w:val="00642CC2"/>
    <w:rsid w:val="00644F53"/>
    <w:rsid w:val="00645571"/>
    <w:rsid w:val="00650260"/>
    <w:rsid w:val="006535FA"/>
    <w:rsid w:val="00654538"/>
    <w:rsid w:val="006548A8"/>
    <w:rsid w:val="00655766"/>
    <w:rsid w:val="00655C44"/>
    <w:rsid w:val="006618F0"/>
    <w:rsid w:val="0066428F"/>
    <w:rsid w:val="00665635"/>
    <w:rsid w:val="0066697A"/>
    <w:rsid w:val="0067182B"/>
    <w:rsid w:val="00671971"/>
    <w:rsid w:val="006743BE"/>
    <w:rsid w:val="00674E6C"/>
    <w:rsid w:val="006771C2"/>
    <w:rsid w:val="006776C7"/>
    <w:rsid w:val="00677E67"/>
    <w:rsid w:val="00677EE7"/>
    <w:rsid w:val="0068112B"/>
    <w:rsid w:val="00685A5C"/>
    <w:rsid w:val="00685E8D"/>
    <w:rsid w:val="00686ADA"/>
    <w:rsid w:val="00686FF8"/>
    <w:rsid w:val="00692224"/>
    <w:rsid w:val="00692D9A"/>
    <w:rsid w:val="0069509C"/>
    <w:rsid w:val="00696058"/>
    <w:rsid w:val="00696807"/>
    <w:rsid w:val="006977EA"/>
    <w:rsid w:val="006A0548"/>
    <w:rsid w:val="006A0E66"/>
    <w:rsid w:val="006A44CA"/>
    <w:rsid w:val="006A51E6"/>
    <w:rsid w:val="006B4CC2"/>
    <w:rsid w:val="006B4E01"/>
    <w:rsid w:val="006B5826"/>
    <w:rsid w:val="006C3587"/>
    <w:rsid w:val="006C55F6"/>
    <w:rsid w:val="006C750B"/>
    <w:rsid w:val="006C7D14"/>
    <w:rsid w:val="006D0B95"/>
    <w:rsid w:val="006D0BAA"/>
    <w:rsid w:val="006D3031"/>
    <w:rsid w:val="006D6D84"/>
    <w:rsid w:val="006E013C"/>
    <w:rsid w:val="006E12F1"/>
    <w:rsid w:val="006E368A"/>
    <w:rsid w:val="006E52B7"/>
    <w:rsid w:val="006E670C"/>
    <w:rsid w:val="006F0528"/>
    <w:rsid w:val="006F1F77"/>
    <w:rsid w:val="006F20D4"/>
    <w:rsid w:val="006F2190"/>
    <w:rsid w:val="006F2756"/>
    <w:rsid w:val="006F2C98"/>
    <w:rsid w:val="006F3437"/>
    <w:rsid w:val="006F48E8"/>
    <w:rsid w:val="006F5E77"/>
    <w:rsid w:val="006F67AB"/>
    <w:rsid w:val="006F699B"/>
    <w:rsid w:val="006F6E1A"/>
    <w:rsid w:val="007012E0"/>
    <w:rsid w:val="00704813"/>
    <w:rsid w:val="00704FAA"/>
    <w:rsid w:val="0070594C"/>
    <w:rsid w:val="00711198"/>
    <w:rsid w:val="007170EF"/>
    <w:rsid w:val="00717198"/>
    <w:rsid w:val="007222C6"/>
    <w:rsid w:val="00725E72"/>
    <w:rsid w:val="00731CE5"/>
    <w:rsid w:val="00732C8F"/>
    <w:rsid w:val="00732D12"/>
    <w:rsid w:val="00733E49"/>
    <w:rsid w:val="00734258"/>
    <w:rsid w:val="00734380"/>
    <w:rsid w:val="00734A82"/>
    <w:rsid w:val="007358F0"/>
    <w:rsid w:val="007375E1"/>
    <w:rsid w:val="007436B5"/>
    <w:rsid w:val="00743C88"/>
    <w:rsid w:val="00743ED3"/>
    <w:rsid w:val="00744478"/>
    <w:rsid w:val="007454AE"/>
    <w:rsid w:val="007469E0"/>
    <w:rsid w:val="00746EBC"/>
    <w:rsid w:val="00750E04"/>
    <w:rsid w:val="00751350"/>
    <w:rsid w:val="00751A2A"/>
    <w:rsid w:val="0075254B"/>
    <w:rsid w:val="007526A9"/>
    <w:rsid w:val="00753852"/>
    <w:rsid w:val="00755478"/>
    <w:rsid w:val="00756EE0"/>
    <w:rsid w:val="007579FA"/>
    <w:rsid w:val="00761239"/>
    <w:rsid w:val="00761E75"/>
    <w:rsid w:val="007624E3"/>
    <w:rsid w:val="0076506E"/>
    <w:rsid w:val="00765B43"/>
    <w:rsid w:val="007660C5"/>
    <w:rsid w:val="00766894"/>
    <w:rsid w:val="00775FD5"/>
    <w:rsid w:val="00777305"/>
    <w:rsid w:val="0078215A"/>
    <w:rsid w:val="0078605D"/>
    <w:rsid w:val="007864CA"/>
    <w:rsid w:val="0078795F"/>
    <w:rsid w:val="007902CD"/>
    <w:rsid w:val="00791045"/>
    <w:rsid w:val="00791C82"/>
    <w:rsid w:val="00791D1A"/>
    <w:rsid w:val="00795423"/>
    <w:rsid w:val="00796855"/>
    <w:rsid w:val="007A3E30"/>
    <w:rsid w:val="007A4A82"/>
    <w:rsid w:val="007C27AE"/>
    <w:rsid w:val="007C289B"/>
    <w:rsid w:val="007C3BF8"/>
    <w:rsid w:val="007C3F54"/>
    <w:rsid w:val="007C44E8"/>
    <w:rsid w:val="007C64D6"/>
    <w:rsid w:val="007C7CE8"/>
    <w:rsid w:val="007D14CF"/>
    <w:rsid w:val="007D3633"/>
    <w:rsid w:val="007D59A0"/>
    <w:rsid w:val="007D6E48"/>
    <w:rsid w:val="007E0995"/>
    <w:rsid w:val="007E0AE7"/>
    <w:rsid w:val="007E18A7"/>
    <w:rsid w:val="007E1C26"/>
    <w:rsid w:val="007E1F1D"/>
    <w:rsid w:val="007E2B4C"/>
    <w:rsid w:val="007E32E9"/>
    <w:rsid w:val="007E5411"/>
    <w:rsid w:val="007F1F5E"/>
    <w:rsid w:val="007F45B2"/>
    <w:rsid w:val="007F5CA6"/>
    <w:rsid w:val="007F7ADF"/>
    <w:rsid w:val="008011EF"/>
    <w:rsid w:val="0080360B"/>
    <w:rsid w:val="0080366F"/>
    <w:rsid w:val="008036A8"/>
    <w:rsid w:val="00803E63"/>
    <w:rsid w:val="00805D11"/>
    <w:rsid w:val="00806C56"/>
    <w:rsid w:val="00810216"/>
    <w:rsid w:val="00810681"/>
    <w:rsid w:val="00810CE0"/>
    <w:rsid w:val="00815FCE"/>
    <w:rsid w:val="008168FE"/>
    <w:rsid w:val="008172AE"/>
    <w:rsid w:val="008179C3"/>
    <w:rsid w:val="0082076C"/>
    <w:rsid w:val="00821068"/>
    <w:rsid w:val="0082246E"/>
    <w:rsid w:val="008229AC"/>
    <w:rsid w:val="008233F2"/>
    <w:rsid w:val="008242D7"/>
    <w:rsid w:val="0082634D"/>
    <w:rsid w:val="008269B6"/>
    <w:rsid w:val="00830733"/>
    <w:rsid w:val="0083082C"/>
    <w:rsid w:val="00831D31"/>
    <w:rsid w:val="00840ED9"/>
    <w:rsid w:val="00840F09"/>
    <w:rsid w:val="00843BBA"/>
    <w:rsid w:val="008471DE"/>
    <w:rsid w:val="008472F5"/>
    <w:rsid w:val="00860EBA"/>
    <w:rsid w:val="008627E5"/>
    <w:rsid w:val="008644A4"/>
    <w:rsid w:val="00865D71"/>
    <w:rsid w:val="00867AE6"/>
    <w:rsid w:val="00870AC7"/>
    <w:rsid w:val="00871B37"/>
    <w:rsid w:val="00872545"/>
    <w:rsid w:val="00873439"/>
    <w:rsid w:val="008737FF"/>
    <w:rsid w:val="00875A19"/>
    <w:rsid w:val="008800BB"/>
    <w:rsid w:val="0088088E"/>
    <w:rsid w:val="008821CD"/>
    <w:rsid w:val="00887C3D"/>
    <w:rsid w:val="008903C5"/>
    <w:rsid w:val="00890BB2"/>
    <w:rsid w:val="00891A1C"/>
    <w:rsid w:val="0089254B"/>
    <w:rsid w:val="00893337"/>
    <w:rsid w:val="00893EED"/>
    <w:rsid w:val="00895715"/>
    <w:rsid w:val="00895AA5"/>
    <w:rsid w:val="008A181D"/>
    <w:rsid w:val="008A2E0C"/>
    <w:rsid w:val="008A3AC1"/>
    <w:rsid w:val="008A6673"/>
    <w:rsid w:val="008A6C58"/>
    <w:rsid w:val="008A6EB0"/>
    <w:rsid w:val="008B0894"/>
    <w:rsid w:val="008B14A4"/>
    <w:rsid w:val="008B2947"/>
    <w:rsid w:val="008B2F02"/>
    <w:rsid w:val="008B326E"/>
    <w:rsid w:val="008B55D7"/>
    <w:rsid w:val="008B5B46"/>
    <w:rsid w:val="008C18F8"/>
    <w:rsid w:val="008C22B2"/>
    <w:rsid w:val="008C282F"/>
    <w:rsid w:val="008C39C8"/>
    <w:rsid w:val="008C4EFF"/>
    <w:rsid w:val="008C55D8"/>
    <w:rsid w:val="008C576D"/>
    <w:rsid w:val="008C59B7"/>
    <w:rsid w:val="008C5A12"/>
    <w:rsid w:val="008C6C61"/>
    <w:rsid w:val="008D2EE8"/>
    <w:rsid w:val="008D3AAC"/>
    <w:rsid w:val="008D3DDB"/>
    <w:rsid w:val="008D3E45"/>
    <w:rsid w:val="008D45DA"/>
    <w:rsid w:val="008D54D1"/>
    <w:rsid w:val="008D708F"/>
    <w:rsid w:val="008E407E"/>
    <w:rsid w:val="008E6A11"/>
    <w:rsid w:val="008E6C39"/>
    <w:rsid w:val="008F2312"/>
    <w:rsid w:val="008F2553"/>
    <w:rsid w:val="008F6FA0"/>
    <w:rsid w:val="00906D68"/>
    <w:rsid w:val="00910971"/>
    <w:rsid w:val="00914386"/>
    <w:rsid w:val="00922B26"/>
    <w:rsid w:val="00923DB7"/>
    <w:rsid w:val="00923F61"/>
    <w:rsid w:val="00924DB9"/>
    <w:rsid w:val="00927863"/>
    <w:rsid w:val="00933C01"/>
    <w:rsid w:val="00937DA1"/>
    <w:rsid w:val="009408AC"/>
    <w:rsid w:val="009427BF"/>
    <w:rsid w:val="009428ED"/>
    <w:rsid w:val="009429B5"/>
    <w:rsid w:val="009440C6"/>
    <w:rsid w:val="009455BB"/>
    <w:rsid w:val="00945AF7"/>
    <w:rsid w:val="00945CED"/>
    <w:rsid w:val="00945FC1"/>
    <w:rsid w:val="00951862"/>
    <w:rsid w:val="00952923"/>
    <w:rsid w:val="00955182"/>
    <w:rsid w:val="009572E6"/>
    <w:rsid w:val="0095767E"/>
    <w:rsid w:val="00961D29"/>
    <w:rsid w:val="00964021"/>
    <w:rsid w:val="00970F80"/>
    <w:rsid w:val="0097130C"/>
    <w:rsid w:val="009718AD"/>
    <w:rsid w:val="00972597"/>
    <w:rsid w:val="00974DE9"/>
    <w:rsid w:val="00974FE0"/>
    <w:rsid w:val="00976532"/>
    <w:rsid w:val="009776CD"/>
    <w:rsid w:val="009822D9"/>
    <w:rsid w:val="009825FF"/>
    <w:rsid w:val="00982C11"/>
    <w:rsid w:val="009831C3"/>
    <w:rsid w:val="00985237"/>
    <w:rsid w:val="00986820"/>
    <w:rsid w:val="00994368"/>
    <w:rsid w:val="00994A79"/>
    <w:rsid w:val="00996400"/>
    <w:rsid w:val="00996678"/>
    <w:rsid w:val="009A0EE4"/>
    <w:rsid w:val="009A0F3D"/>
    <w:rsid w:val="009A1C9C"/>
    <w:rsid w:val="009A5772"/>
    <w:rsid w:val="009A5C79"/>
    <w:rsid w:val="009A7660"/>
    <w:rsid w:val="009B10F5"/>
    <w:rsid w:val="009B229A"/>
    <w:rsid w:val="009B3406"/>
    <w:rsid w:val="009B3FCE"/>
    <w:rsid w:val="009B4822"/>
    <w:rsid w:val="009B54B1"/>
    <w:rsid w:val="009C26D6"/>
    <w:rsid w:val="009C27A8"/>
    <w:rsid w:val="009C3E73"/>
    <w:rsid w:val="009C405A"/>
    <w:rsid w:val="009C63D7"/>
    <w:rsid w:val="009C6EEA"/>
    <w:rsid w:val="009C7CC8"/>
    <w:rsid w:val="009D0A7A"/>
    <w:rsid w:val="009D1082"/>
    <w:rsid w:val="009D151E"/>
    <w:rsid w:val="009D2A57"/>
    <w:rsid w:val="009D2C59"/>
    <w:rsid w:val="009D3CA0"/>
    <w:rsid w:val="009D42CC"/>
    <w:rsid w:val="009E0D84"/>
    <w:rsid w:val="009E17EB"/>
    <w:rsid w:val="009E277B"/>
    <w:rsid w:val="009E368E"/>
    <w:rsid w:val="009E4CF6"/>
    <w:rsid w:val="009E5EA6"/>
    <w:rsid w:val="009F04FF"/>
    <w:rsid w:val="009F4484"/>
    <w:rsid w:val="009F4CC4"/>
    <w:rsid w:val="009F7A24"/>
    <w:rsid w:val="00A00ED1"/>
    <w:rsid w:val="00A01548"/>
    <w:rsid w:val="00A01BCF"/>
    <w:rsid w:val="00A01E61"/>
    <w:rsid w:val="00A0222A"/>
    <w:rsid w:val="00A02BAC"/>
    <w:rsid w:val="00A032A9"/>
    <w:rsid w:val="00A03450"/>
    <w:rsid w:val="00A07E24"/>
    <w:rsid w:val="00A10D13"/>
    <w:rsid w:val="00A12C07"/>
    <w:rsid w:val="00A12DF9"/>
    <w:rsid w:val="00A131D8"/>
    <w:rsid w:val="00A14C80"/>
    <w:rsid w:val="00A1518C"/>
    <w:rsid w:val="00A15D51"/>
    <w:rsid w:val="00A1635D"/>
    <w:rsid w:val="00A17CD3"/>
    <w:rsid w:val="00A20654"/>
    <w:rsid w:val="00A23089"/>
    <w:rsid w:val="00A24553"/>
    <w:rsid w:val="00A2524C"/>
    <w:rsid w:val="00A30902"/>
    <w:rsid w:val="00A40526"/>
    <w:rsid w:val="00A40811"/>
    <w:rsid w:val="00A417BA"/>
    <w:rsid w:val="00A45BB3"/>
    <w:rsid w:val="00A5153D"/>
    <w:rsid w:val="00A5201F"/>
    <w:rsid w:val="00A5274F"/>
    <w:rsid w:val="00A52C2A"/>
    <w:rsid w:val="00A54798"/>
    <w:rsid w:val="00A607D3"/>
    <w:rsid w:val="00A60FDC"/>
    <w:rsid w:val="00A628AC"/>
    <w:rsid w:val="00A62A67"/>
    <w:rsid w:val="00A64EB1"/>
    <w:rsid w:val="00A6518A"/>
    <w:rsid w:val="00A65441"/>
    <w:rsid w:val="00A66EA1"/>
    <w:rsid w:val="00A7029F"/>
    <w:rsid w:val="00A737D7"/>
    <w:rsid w:val="00A73B5D"/>
    <w:rsid w:val="00A766CB"/>
    <w:rsid w:val="00A77DD5"/>
    <w:rsid w:val="00A807BF"/>
    <w:rsid w:val="00A90476"/>
    <w:rsid w:val="00A919F8"/>
    <w:rsid w:val="00A93CE7"/>
    <w:rsid w:val="00A959EB"/>
    <w:rsid w:val="00A97BFF"/>
    <w:rsid w:val="00AA0B67"/>
    <w:rsid w:val="00AA1A83"/>
    <w:rsid w:val="00AA21A4"/>
    <w:rsid w:val="00AA7D37"/>
    <w:rsid w:val="00AB0B3C"/>
    <w:rsid w:val="00AB28F0"/>
    <w:rsid w:val="00AB6E5A"/>
    <w:rsid w:val="00AC0437"/>
    <w:rsid w:val="00AC05D7"/>
    <w:rsid w:val="00AC1117"/>
    <w:rsid w:val="00AC30C0"/>
    <w:rsid w:val="00AC3720"/>
    <w:rsid w:val="00AC40E8"/>
    <w:rsid w:val="00AC60D5"/>
    <w:rsid w:val="00AC61F3"/>
    <w:rsid w:val="00AC65BF"/>
    <w:rsid w:val="00AC69E7"/>
    <w:rsid w:val="00AC725B"/>
    <w:rsid w:val="00AD108B"/>
    <w:rsid w:val="00AD5335"/>
    <w:rsid w:val="00AD73BE"/>
    <w:rsid w:val="00AD79D8"/>
    <w:rsid w:val="00AE0BC7"/>
    <w:rsid w:val="00AE0C79"/>
    <w:rsid w:val="00AE1A01"/>
    <w:rsid w:val="00AE2448"/>
    <w:rsid w:val="00AF03AA"/>
    <w:rsid w:val="00AF124D"/>
    <w:rsid w:val="00AF1A8B"/>
    <w:rsid w:val="00AF3A2B"/>
    <w:rsid w:val="00AF3B44"/>
    <w:rsid w:val="00AF3BF9"/>
    <w:rsid w:val="00AF52BE"/>
    <w:rsid w:val="00AF7B4D"/>
    <w:rsid w:val="00B00BA4"/>
    <w:rsid w:val="00B02E6E"/>
    <w:rsid w:val="00B0773A"/>
    <w:rsid w:val="00B10A67"/>
    <w:rsid w:val="00B10E35"/>
    <w:rsid w:val="00B13ED9"/>
    <w:rsid w:val="00B13EDC"/>
    <w:rsid w:val="00B13F76"/>
    <w:rsid w:val="00B16FAF"/>
    <w:rsid w:val="00B1744D"/>
    <w:rsid w:val="00B200B8"/>
    <w:rsid w:val="00B22389"/>
    <w:rsid w:val="00B26639"/>
    <w:rsid w:val="00B26BDF"/>
    <w:rsid w:val="00B30C1D"/>
    <w:rsid w:val="00B31876"/>
    <w:rsid w:val="00B318C6"/>
    <w:rsid w:val="00B31F40"/>
    <w:rsid w:val="00B339A8"/>
    <w:rsid w:val="00B34D7C"/>
    <w:rsid w:val="00B35E55"/>
    <w:rsid w:val="00B37AEB"/>
    <w:rsid w:val="00B408AA"/>
    <w:rsid w:val="00B40B12"/>
    <w:rsid w:val="00B421DA"/>
    <w:rsid w:val="00B43A6B"/>
    <w:rsid w:val="00B445C1"/>
    <w:rsid w:val="00B47C2B"/>
    <w:rsid w:val="00B50D88"/>
    <w:rsid w:val="00B55469"/>
    <w:rsid w:val="00B55654"/>
    <w:rsid w:val="00B61A48"/>
    <w:rsid w:val="00B629D7"/>
    <w:rsid w:val="00B6463E"/>
    <w:rsid w:val="00B649E5"/>
    <w:rsid w:val="00B64E41"/>
    <w:rsid w:val="00B655C7"/>
    <w:rsid w:val="00B657A8"/>
    <w:rsid w:val="00B67436"/>
    <w:rsid w:val="00B71128"/>
    <w:rsid w:val="00B71B96"/>
    <w:rsid w:val="00B74F79"/>
    <w:rsid w:val="00B751CE"/>
    <w:rsid w:val="00B75B27"/>
    <w:rsid w:val="00B76AC9"/>
    <w:rsid w:val="00B776C2"/>
    <w:rsid w:val="00B7787A"/>
    <w:rsid w:val="00B80118"/>
    <w:rsid w:val="00B80551"/>
    <w:rsid w:val="00B8123A"/>
    <w:rsid w:val="00B84277"/>
    <w:rsid w:val="00B84DAC"/>
    <w:rsid w:val="00B90111"/>
    <w:rsid w:val="00B910A9"/>
    <w:rsid w:val="00B91C7E"/>
    <w:rsid w:val="00B94350"/>
    <w:rsid w:val="00B945D3"/>
    <w:rsid w:val="00B9541E"/>
    <w:rsid w:val="00BA085F"/>
    <w:rsid w:val="00BA1CFB"/>
    <w:rsid w:val="00BA2374"/>
    <w:rsid w:val="00BA4029"/>
    <w:rsid w:val="00BB0B22"/>
    <w:rsid w:val="00BB41E1"/>
    <w:rsid w:val="00BB6EB2"/>
    <w:rsid w:val="00BC150C"/>
    <w:rsid w:val="00BC1C94"/>
    <w:rsid w:val="00BC24A2"/>
    <w:rsid w:val="00BC4F0C"/>
    <w:rsid w:val="00BC6E77"/>
    <w:rsid w:val="00BD35BB"/>
    <w:rsid w:val="00BD3856"/>
    <w:rsid w:val="00BD574A"/>
    <w:rsid w:val="00BD7AB8"/>
    <w:rsid w:val="00BE4C7D"/>
    <w:rsid w:val="00BE7015"/>
    <w:rsid w:val="00BF04D4"/>
    <w:rsid w:val="00BF0A44"/>
    <w:rsid w:val="00BF1AA3"/>
    <w:rsid w:val="00BF3407"/>
    <w:rsid w:val="00BF36D8"/>
    <w:rsid w:val="00BF4556"/>
    <w:rsid w:val="00BF6F49"/>
    <w:rsid w:val="00BF74E5"/>
    <w:rsid w:val="00BF7830"/>
    <w:rsid w:val="00C0034B"/>
    <w:rsid w:val="00C00B9D"/>
    <w:rsid w:val="00C11AD4"/>
    <w:rsid w:val="00C1260C"/>
    <w:rsid w:val="00C12838"/>
    <w:rsid w:val="00C14EF9"/>
    <w:rsid w:val="00C16A05"/>
    <w:rsid w:val="00C1798D"/>
    <w:rsid w:val="00C200E6"/>
    <w:rsid w:val="00C20219"/>
    <w:rsid w:val="00C20FEB"/>
    <w:rsid w:val="00C21E31"/>
    <w:rsid w:val="00C255D6"/>
    <w:rsid w:val="00C25B63"/>
    <w:rsid w:val="00C3264C"/>
    <w:rsid w:val="00C3268C"/>
    <w:rsid w:val="00C32CE3"/>
    <w:rsid w:val="00C33EAF"/>
    <w:rsid w:val="00C35475"/>
    <w:rsid w:val="00C37ABF"/>
    <w:rsid w:val="00C42DE3"/>
    <w:rsid w:val="00C46C1F"/>
    <w:rsid w:val="00C46C98"/>
    <w:rsid w:val="00C4720D"/>
    <w:rsid w:val="00C51CCD"/>
    <w:rsid w:val="00C52146"/>
    <w:rsid w:val="00C54F18"/>
    <w:rsid w:val="00C578FA"/>
    <w:rsid w:val="00C57B8A"/>
    <w:rsid w:val="00C62F6E"/>
    <w:rsid w:val="00C63224"/>
    <w:rsid w:val="00C63AD9"/>
    <w:rsid w:val="00C64AF2"/>
    <w:rsid w:val="00C66AF1"/>
    <w:rsid w:val="00C7376C"/>
    <w:rsid w:val="00C73CA5"/>
    <w:rsid w:val="00C74A6B"/>
    <w:rsid w:val="00C7516B"/>
    <w:rsid w:val="00C75381"/>
    <w:rsid w:val="00C77AB5"/>
    <w:rsid w:val="00C831B0"/>
    <w:rsid w:val="00C8418D"/>
    <w:rsid w:val="00C8506E"/>
    <w:rsid w:val="00C85D0E"/>
    <w:rsid w:val="00C9490D"/>
    <w:rsid w:val="00C94C36"/>
    <w:rsid w:val="00C94F8C"/>
    <w:rsid w:val="00C959C2"/>
    <w:rsid w:val="00C967D3"/>
    <w:rsid w:val="00CA1814"/>
    <w:rsid w:val="00CA24B2"/>
    <w:rsid w:val="00CA4245"/>
    <w:rsid w:val="00CA6442"/>
    <w:rsid w:val="00CA66E4"/>
    <w:rsid w:val="00CA7B41"/>
    <w:rsid w:val="00CB3569"/>
    <w:rsid w:val="00CB7FE7"/>
    <w:rsid w:val="00CC0AEB"/>
    <w:rsid w:val="00CC0EB6"/>
    <w:rsid w:val="00CC1223"/>
    <w:rsid w:val="00CC3810"/>
    <w:rsid w:val="00CC4511"/>
    <w:rsid w:val="00CC459C"/>
    <w:rsid w:val="00CC5C98"/>
    <w:rsid w:val="00CC6F33"/>
    <w:rsid w:val="00CC74AD"/>
    <w:rsid w:val="00CD06A1"/>
    <w:rsid w:val="00CD0D91"/>
    <w:rsid w:val="00CD14A6"/>
    <w:rsid w:val="00CD4AEC"/>
    <w:rsid w:val="00CE1FF5"/>
    <w:rsid w:val="00CE2200"/>
    <w:rsid w:val="00CE265E"/>
    <w:rsid w:val="00CE3BA8"/>
    <w:rsid w:val="00CE3EF5"/>
    <w:rsid w:val="00CE50C7"/>
    <w:rsid w:val="00CE523D"/>
    <w:rsid w:val="00CE55CC"/>
    <w:rsid w:val="00CE77AD"/>
    <w:rsid w:val="00CF2279"/>
    <w:rsid w:val="00CF23CB"/>
    <w:rsid w:val="00CF2BE9"/>
    <w:rsid w:val="00CF3E9E"/>
    <w:rsid w:val="00CF5A4E"/>
    <w:rsid w:val="00CF67AE"/>
    <w:rsid w:val="00CF73D1"/>
    <w:rsid w:val="00D0469E"/>
    <w:rsid w:val="00D10704"/>
    <w:rsid w:val="00D112C9"/>
    <w:rsid w:val="00D11452"/>
    <w:rsid w:val="00D1278B"/>
    <w:rsid w:val="00D162CA"/>
    <w:rsid w:val="00D17020"/>
    <w:rsid w:val="00D173B7"/>
    <w:rsid w:val="00D17DD3"/>
    <w:rsid w:val="00D22BE8"/>
    <w:rsid w:val="00D2345B"/>
    <w:rsid w:val="00D25A32"/>
    <w:rsid w:val="00D30198"/>
    <w:rsid w:val="00D31E04"/>
    <w:rsid w:val="00D401FB"/>
    <w:rsid w:val="00D437FB"/>
    <w:rsid w:val="00D43980"/>
    <w:rsid w:val="00D45B11"/>
    <w:rsid w:val="00D468C1"/>
    <w:rsid w:val="00D47639"/>
    <w:rsid w:val="00D51B99"/>
    <w:rsid w:val="00D528D5"/>
    <w:rsid w:val="00D55C84"/>
    <w:rsid w:val="00D56BA1"/>
    <w:rsid w:val="00D56C87"/>
    <w:rsid w:val="00D57B47"/>
    <w:rsid w:val="00D61F4E"/>
    <w:rsid w:val="00D65E4D"/>
    <w:rsid w:val="00D662F9"/>
    <w:rsid w:val="00D66399"/>
    <w:rsid w:val="00D7429B"/>
    <w:rsid w:val="00D745BC"/>
    <w:rsid w:val="00D7572A"/>
    <w:rsid w:val="00D76CDF"/>
    <w:rsid w:val="00D82DAE"/>
    <w:rsid w:val="00D83075"/>
    <w:rsid w:val="00D83D8E"/>
    <w:rsid w:val="00D854B4"/>
    <w:rsid w:val="00D855BB"/>
    <w:rsid w:val="00D87FEB"/>
    <w:rsid w:val="00D93668"/>
    <w:rsid w:val="00DA0FD8"/>
    <w:rsid w:val="00DA39E1"/>
    <w:rsid w:val="00DA5733"/>
    <w:rsid w:val="00DA759A"/>
    <w:rsid w:val="00DB058D"/>
    <w:rsid w:val="00DB10F0"/>
    <w:rsid w:val="00DB1FF0"/>
    <w:rsid w:val="00DB2041"/>
    <w:rsid w:val="00DB225C"/>
    <w:rsid w:val="00DB3229"/>
    <w:rsid w:val="00DB53F4"/>
    <w:rsid w:val="00DB5AD1"/>
    <w:rsid w:val="00DC0F08"/>
    <w:rsid w:val="00DC30C8"/>
    <w:rsid w:val="00DC4818"/>
    <w:rsid w:val="00DC6345"/>
    <w:rsid w:val="00DC68F7"/>
    <w:rsid w:val="00DC6B71"/>
    <w:rsid w:val="00DC758E"/>
    <w:rsid w:val="00DD1356"/>
    <w:rsid w:val="00DD3A88"/>
    <w:rsid w:val="00DD68C9"/>
    <w:rsid w:val="00DE01BB"/>
    <w:rsid w:val="00DE0A82"/>
    <w:rsid w:val="00DE141C"/>
    <w:rsid w:val="00DE386A"/>
    <w:rsid w:val="00DE5B30"/>
    <w:rsid w:val="00DE6DEB"/>
    <w:rsid w:val="00DF0D38"/>
    <w:rsid w:val="00DF3673"/>
    <w:rsid w:val="00DF58BD"/>
    <w:rsid w:val="00DF5BD2"/>
    <w:rsid w:val="00DF690B"/>
    <w:rsid w:val="00DF6CB9"/>
    <w:rsid w:val="00DF7192"/>
    <w:rsid w:val="00E01CC4"/>
    <w:rsid w:val="00E02350"/>
    <w:rsid w:val="00E04CCD"/>
    <w:rsid w:val="00E07D75"/>
    <w:rsid w:val="00E12440"/>
    <w:rsid w:val="00E1442E"/>
    <w:rsid w:val="00E1608D"/>
    <w:rsid w:val="00E17AAA"/>
    <w:rsid w:val="00E17E46"/>
    <w:rsid w:val="00E20CA7"/>
    <w:rsid w:val="00E217D5"/>
    <w:rsid w:val="00E2180E"/>
    <w:rsid w:val="00E224A6"/>
    <w:rsid w:val="00E24DE5"/>
    <w:rsid w:val="00E31453"/>
    <w:rsid w:val="00E31880"/>
    <w:rsid w:val="00E33227"/>
    <w:rsid w:val="00E33FB9"/>
    <w:rsid w:val="00E43E82"/>
    <w:rsid w:val="00E44240"/>
    <w:rsid w:val="00E450E2"/>
    <w:rsid w:val="00E45859"/>
    <w:rsid w:val="00E460AC"/>
    <w:rsid w:val="00E46661"/>
    <w:rsid w:val="00E518F7"/>
    <w:rsid w:val="00E51D2E"/>
    <w:rsid w:val="00E53634"/>
    <w:rsid w:val="00E57F16"/>
    <w:rsid w:val="00E645CE"/>
    <w:rsid w:val="00E70173"/>
    <w:rsid w:val="00E7093B"/>
    <w:rsid w:val="00E709C6"/>
    <w:rsid w:val="00E749A3"/>
    <w:rsid w:val="00E7545E"/>
    <w:rsid w:val="00E80200"/>
    <w:rsid w:val="00E80290"/>
    <w:rsid w:val="00E830ED"/>
    <w:rsid w:val="00E84690"/>
    <w:rsid w:val="00E8470E"/>
    <w:rsid w:val="00E8484B"/>
    <w:rsid w:val="00E85129"/>
    <w:rsid w:val="00E861C5"/>
    <w:rsid w:val="00E86B22"/>
    <w:rsid w:val="00E87396"/>
    <w:rsid w:val="00E93BD5"/>
    <w:rsid w:val="00E9527F"/>
    <w:rsid w:val="00E95EA0"/>
    <w:rsid w:val="00EA3889"/>
    <w:rsid w:val="00EA5185"/>
    <w:rsid w:val="00EA59C5"/>
    <w:rsid w:val="00EA5F8C"/>
    <w:rsid w:val="00EA71AD"/>
    <w:rsid w:val="00EA7718"/>
    <w:rsid w:val="00EB020B"/>
    <w:rsid w:val="00EB0402"/>
    <w:rsid w:val="00EB2E1E"/>
    <w:rsid w:val="00EB40F5"/>
    <w:rsid w:val="00EB41E4"/>
    <w:rsid w:val="00EB45FE"/>
    <w:rsid w:val="00EB5C7F"/>
    <w:rsid w:val="00EC0B10"/>
    <w:rsid w:val="00EC15F6"/>
    <w:rsid w:val="00EC3B6E"/>
    <w:rsid w:val="00EC43E3"/>
    <w:rsid w:val="00EC5F6F"/>
    <w:rsid w:val="00EC6BBA"/>
    <w:rsid w:val="00ED0862"/>
    <w:rsid w:val="00ED226C"/>
    <w:rsid w:val="00ED396A"/>
    <w:rsid w:val="00ED4A72"/>
    <w:rsid w:val="00ED4CB8"/>
    <w:rsid w:val="00ED5668"/>
    <w:rsid w:val="00ED5B34"/>
    <w:rsid w:val="00EE4A52"/>
    <w:rsid w:val="00EE4CD0"/>
    <w:rsid w:val="00EE620C"/>
    <w:rsid w:val="00EF2148"/>
    <w:rsid w:val="00EF2637"/>
    <w:rsid w:val="00EF3296"/>
    <w:rsid w:val="00EF40A7"/>
    <w:rsid w:val="00EF4CED"/>
    <w:rsid w:val="00EF76B5"/>
    <w:rsid w:val="00F0092F"/>
    <w:rsid w:val="00F014F4"/>
    <w:rsid w:val="00F0155A"/>
    <w:rsid w:val="00F018C0"/>
    <w:rsid w:val="00F01DF1"/>
    <w:rsid w:val="00F01FFD"/>
    <w:rsid w:val="00F029D6"/>
    <w:rsid w:val="00F02E7C"/>
    <w:rsid w:val="00F030E3"/>
    <w:rsid w:val="00F0371F"/>
    <w:rsid w:val="00F05A36"/>
    <w:rsid w:val="00F06C26"/>
    <w:rsid w:val="00F07B43"/>
    <w:rsid w:val="00F07B71"/>
    <w:rsid w:val="00F10867"/>
    <w:rsid w:val="00F10F06"/>
    <w:rsid w:val="00F11869"/>
    <w:rsid w:val="00F125F0"/>
    <w:rsid w:val="00F1453B"/>
    <w:rsid w:val="00F1722F"/>
    <w:rsid w:val="00F234D9"/>
    <w:rsid w:val="00F24002"/>
    <w:rsid w:val="00F25A34"/>
    <w:rsid w:val="00F27DCB"/>
    <w:rsid w:val="00F31062"/>
    <w:rsid w:val="00F3334B"/>
    <w:rsid w:val="00F34C65"/>
    <w:rsid w:val="00F40044"/>
    <w:rsid w:val="00F41B7C"/>
    <w:rsid w:val="00F421B1"/>
    <w:rsid w:val="00F46026"/>
    <w:rsid w:val="00F46DD4"/>
    <w:rsid w:val="00F50641"/>
    <w:rsid w:val="00F517FE"/>
    <w:rsid w:val="00F560AB"/>
    <w:rsid w:val="00F600A3"/>
    <w:rsid w:val="00F608EE"/>
    <w:rsid w:val="00F613D7"/>
    <w:rsid w:val="00F62383"/>
    <w:rsid w:val="00F63D40"/>
    <w:rsid w:val="00F65996"/>
    <w:rsid w:val="00F7131C"/>
    <w:rsid w:val="00F71F25"/>
    <w:rsid w:val="00F75829"/>
    <w:rsid w:val="00F800CE"/>
    <w:rsid w:val="00F80ACC"/>
    <w:rsid w:val="00F81FA4"/>
    <w:rsid w:val="00F8207F"/>
    <w:rsid w:val="00F84CEE"/>
    <w:rsid w:val="00F90242"/>
    <w:rsid w:val="00F921D4"/>
    <w:rsid w:val="00F924E4"/>
    <w:rsid w:val="00F93D51"/>
    <w:rsid w:val="00F950B9"/>
    <w:rsid w:val="00F97682"/>
    <w:rsid w:val="00FA00AC"/>
    <w:rsid w:val="00FA199A"/>
    <w:rsid w:val="00FA2C27"/>
    <w:rsid w:val="00FA2F39"/>
    <w:rsid w:val="00FA3DB2"/>
    <w:rsid w:val="00FA6570"/>
    <w:rsid w:val="00FA74E1"/>
    <w:rsid w:val="00FB3995"/>
    <w:rsid w:val="00FB5661"/>
    <w:rsid w:val="00FB6EE9"/>
    <w:rsid w:val="00FC0C55"/>
    <w:rsid w:val="00FC0D61"/>
    <w:rsid w:val="00FC114E"/>
    <w:rsid w:val="00FC177D"/>
    <w:rsid w:val="00FC19A7"/>
    <w:rsid w:val="00FC1B6C"/>
    <w:rsid w:val="00FC51D1"/>
    <w:rsid w:val="00FC54ED"/>
    <w:rsid w:val="00FC63F4"/>
    <w:rsid w:val="00FD086C"/>
    <w:rsid w:val="00FD0C70"/>
    <w:rsid w:val="00FD1D4C"/>
    <w:rsid w:val="00FD26A8"/>
    <w:rsid w:val="00FD5C01"/>
    <w:rsid w:val="00FD7C6A"/>
    <w:rsid w:val="00FE26B1"/>
    <w:rsid w:val="00FE2EB3"/>
    <w:rsid w:val="00FE40E2"/>
    <w:rsid w:val="00FE4AE7"/>
    <w:rsid w:val="00FE7CF5"/>
    <w:rsid w:val="00FF1AB6"/>
    <w:rsid w:val="00FF1D7C"/>
    <w:rsid w:val="00FF2C5D"/>
    <w:rsid w:val="00FF39E7"/>
    <w:rsid w:val="00FF55E7"/>
    <w:rsid w:val="00FF643C"/>
    <w:rsid w:val="00FF6A43"/>
    <w:rsid w:val="00FF7507"/>
    <w:rsid w:val="00FF7664"/>
    <w:rsid w:val="012266D3"/>
    <w:rsid w:val="0127484E"/>
    <w:rsid w:val="01BC7A31"/>
    <w:rsid w:val="01CE59B1"/>
    <w:rsid w:val="02146626"/>
    <w:rsid w:val="021B2FE7"/>
    <w:rsid w:val="021E2527"/>
    <w:rsid w:val="022F130F"/>
    <w:rsid w:val="024732C3"/>
    <w:rsid w:val="02900DEE"/>
    <w:rsid w:val="030A2B05"/>
    <w:rsid w:val="03357F02"/>
    <w:rsid w:val="03E669DC"/>
    <w:rsid w:val="03FA6006"/>
    <w:rsid w:val="04136563"/>
    <w:rsid w:val="0454129D"/>
    <w:rsid w:val="04816D02"/>
    <w:rsid w:val="048366B5"/>
    <w:rsid w:val="04851A21"/>
    <w:rsid w:val="04C02A92"/>
    <w:rsid w:val="05336F54"/>
    <w:rsid w:val="05622BDA"/>
    <w:rsid w:val="057C45FE"/>
    <w:rsid w:val="058627E4"/>
    <w:rsid w:val="058C1C02"/>
    <w:rsid w:val="05CC7305"/>
    <w:rsid w:val="05ED638A"/>
    <w:rsid w:val="0636370E"/>
    <w:rsid w:val="06524461"/>
    <w:rsid w:val="06541A37"/>
    <w:rsid w:val="065975E6"/>
    <w:rsid w:val="065B1339"/>
    <w:rsid w:val="06860597"/>
    <w:rsid w:val="068B5AA5"/>
    <w:rsid w:val="068C2862"/>
    <w:rsid w:val="06943F20"/>
    <w:rsid w:val="06D91EEF"/>
    <w:rsid w:val="06EA5EC0"/>
    <w:rsid w:val="06FA0CAD"/>
    <w:rsid w:val="06FC4174"/>
    <w:rsid w:val="07726E3E"/>
    <w:rsid w:val="07877308"/>
    <w:rsid w:val="079C0017"/>
    <w:rsid w:val="07A07406"/>
    <w:rsid w:val="07AC63BC"/>
    <w:rsid w:val="07AF71C3"/>
    <w:rsid w:val="07B03890"/>
    <w:rsid w:val="07C80187"/>
    <w:rsid w:val="07D10E70"/>
    <w:rsid w:val="080902C3"/>
    <w:rsid w:val="081D38BF"/>
    <w:rsid w:val="08486407"/>
    <w:rsid w:val="08547C02"/>
    <w:rsid w:val="08802432"/>
    <w:rsid w:val="08B005C0"/>
    <w:rsid w:val="08BA25F2"/>
    <w:rsid w:val="092C654A"/>
    <w:rsid w:val="096D0322"/>
    <w:rsid w:val="099956D8"/>
    <w:rsid w:val="09BF081F"/>
    <w:rsid w:val="0A342856"/>
    <w:rsid w:val="0A595DE3"/>
    <w:rsid w:val="0A6929B9"/>
    <w:rsid w:val="0A705084"/>
    <w:rsid w:val="0A7D0609"/>
    <w:rsid w:val="0A9828E1"/>
    <w:rsid w:val="0AB34009"/>
    <w:rsid w:val="0AB4225D"/>
    <w:rsid w:val="0ABB18F0"/>
    <w:rsid w:val="0ABC3091"/>
    <w:rsid w:val="0AC261FE"/>
    <w:rsid w:val="0ADC62DA"/>
    <w:rsid w:val="0AF30289"/>
    <w:rsid w:val="0AF307BB"/>
    <w:rsid w:val="0B190AFC"/>
    <w:rsid w:val="0B1D7565"/>
    <w:rsid w:val="0B22662E"/>
    <w:rsid w:val="0B5F671D"/>
    <w:rsid w:val="0B701232"/>
    <w:rsid w:val="0B7360D3"/>
    <w:rsid w:val="0B8D01E5"/>
    <w:rsid w:val="0BAC56EB"/>
    <w:rsid w:val="0BF54382"/>
    <w:rsid w:val="0C286685"/>
    <w:rsid w:val="0C363936"/>
    <w:rsid w:val="0C3E3959"/>
    <w:rsid w:val="0C656974"/>
    <w:rsid w:val="0C8F3987"/>
    <w:rsid w:val="0CCB0A84"/>
    <w:rsid w:val="0CDF2676"/>
    <w:rsid w:val="0CE474DA"/>
    <w:rsid w:val="0CF64553"/>
    <w:rsid w:val="0D486E9A"/>
    <w:rsid w:val="0D75021B"/>
    <w:rsid w:val="0D8366A2"/>
    <w:rsid w:val="0DAD4FE3"/>
    <w:rsid w:val="0DE02BA8"/>
    <w:rsid w:val="0E360CB4"/>
    <w:rsid w:val="0E550BA9"/>
    <w:rsid w:val="0E6525B9"/>
    <w:rsid w:val="0E8123EE"/>
    <w:rsid w:val="0F631231"/>
    <w:rsid w:val="0FA92199"/>
    <w:rsid w:val="0FBC75E5"/>
    <w:rsid w:val="10073C77"/>
    <w:rsid w:val="101B2888"/>
    <w:rsid w:val="106C52B9"/>
    <w:rsid w:val="10743121"/>
    <w:rsid w:val="10C92931"/>
    <w:rsid w:val="10FA0F8F"/>
    <w:rsid w:val="115C0A1D"/>
    <w:rsid w:val="11A43CBD"/>
    <w:rsid w:val="123703B9"/>
    <w:rsid w:val="124F6CAA"/>
    <w:rsid w:val="126A6A44"/>
    <w:rsid w:val="129A4008"/>
    <w:rsid w:val="12BD11DB"/>
    <w:rsid w:val="12D15E7C"/>
    <w:rsid w:val="12EF1042"/>
    <w:rsid w:val="12FA2F02"/>
    <w:rsid w:val="130739FC"/>
    <w:rsid w:val="130D348D"/>
    <w:rsid w:val="135C5115"/>
    <w:rsid w:val="1365403A"/>
    <w:rsid w:val="142110E3"/>
    <w:rsid w:val="1454192C"/>
    <w:rsid w:val="147C21CB"/>
    <w:rsid w:val="14E12759"/>
    <w:rsid w:val="14FC0DD1"/>
    <w:rsid w:val="14FE77DA"/>
    <w:rsid w:val="150B43F6"/>
    <w:rsid w:val="1549255F"/>
    <w:rsid w:val="15776443"/>
    <w:rsid w:val="160D70B9"/>
    <w:rsid w:val="16250551"/>
    <w:rsid w:val="165F2FC4"/>
    <w:rsid w:val="16723B1E"/>
    <w:rsid w:val="167421D3"/>
    <w:rsid w:val="169E1DA6"/>
    <w:rsid w:val="16D94082"/>
    <w:rsid w:val="1703091B"/>
    <w:rsid w:val="172722E3"/>
    <w:rsid w:val="17560892"/>
    <w:rsid w:val="17752D41"/>
    <w:rsid w:val="177E13C7"/>
    <w:rsid w:val="17B954AE"/>
    <w:rsid w:val="17E54328"/>
    <w:rsid w:val="17E55EC0"/>
    <w:rsid w:val="184D7418"/>
    <w:rsid w:val="186172B0"/>
    <w:rsid w:val="18905C4E"/>
    <w:rsid w:val="18D8108C"/>
    <w:rsid w:val="18E872D8"/>
    <w:rsid w:val="191144BF"/>
    <w:rsid w:val="191503C1"/>
    <w:rsid w:val="1915640E"/>
    <w:rsid w:val="191C65DA"/>
    <w:rsid w:val="193239FA"/>
    <w:rsid w:val="19345F91"/>
    <w:rsid w:val="19351494"/>
    <w:rsid w:val="19472D73"/>
    <w:rsid w:val="19665181"/>
    <w:rsid w:val="196D7698"/>
    <w:rsid w:val="19A73348"/>
    <w:rsid w:val="19B07BCD"/>
    <w:rsid w:val="19E30203"/>
    <w:rsid w:val="1A230AEF"/>
    <w:rsid w:val="1A514E8D"/>
    <w:rsid w:val="1A79383D"/>
    <w:rsid w:val="1A7F0D83"/>
    <w:rsid w:val="1AA32592"/>
    <w:rsid w:val="1AD27F9A"/>
    <w:rsid w:val="1B173C4D"/>
    <w:rsid w:val="1B2A41AF"/>
    <w:rsid w:val="1B8A0C77"/>
    <w:rsid w:val="1B9837C2"/>
    <w:rsid w:val="1BA5714C"/>
    <w:rsid w:val="1BF55F6C"/>
    <w:rsid w:val="1C3F0850"/>
    <w:rsid w:val="1C9A15B6"/>
    <w:rsid w:val="1CA20830"/>
    <w:rsid w:val="1CA23B92"/>
    <w:rsid w:val="1CD75FE8"/>
    <w:rsid w:val="1D065F4F"/>
    <w:rsid w:val="1D2A62C1"/>
    <w:rsid w:val="1D415883"/>
    <w:rsid w:val="1D4D704A"/>
    <w:rsid w:val="1D720DBC"/>
    <w:rsid w:val="1D7B6754"/>
    <w:rsid w:val="1DBA3400"/>
    <w:rsid w:val="1DBE4529"/>
    <w:rsid w:val="1DC31C82"/>
    <w:rsid w:val="1E001F75"/>
    <w:rsid w:val="1E012587"/>
    <w:rsid w:val="1E1F0832"/>
    <w:rsid w:val="1E345666"/>
    <w:rsid w:val="1E542BAE"/>
    <w:rsid w:val="1E644EB2"/>
    <w:rsid w:val="1EA32162"/>
    <w:rsid w:val="1EA41D01"/>
    <w:rsid w:val="1EAD0FF1"/>
    <w:rsid w:val="1EB463A4"/>
    <w:rsid w:val="1EC056FF"/>
    <w:rsid w:val="1EFC65AF"/>
    <w:rsid w:val="1F075DE9"/>
    <w:rsid w:val="1F07774B"/>
    <w:rsid w:val="1F2D6E68"/>
    <w:rsid w:val="1F7C3845"/>
    <w:rsid w:val="1FFF942E"/>
    <w:rsid w:val="20042CA4"/>
    <w:rsid w:val="200B2F02"/>
    <w:rsid w:val="20386C1D"/>
    <w:rsid w:val="20555B41"/>
    <w:rsid w:val="206004F1"/>
    <w:rsid w:val="20AA2F54"/>
    <w:rsid w:val="20AA41E0"/>
    <w:rsid w:val="20AF4CC6"/>
    <w:rsid w:val="20BD1AFE"/>
    <w:rsid w:val="20CD6528"/>
    <w:rsid w:val="20CE02D1"/>
    <w:rsid w:val="214006A3"/>
    <w:rsid w:val="21480910"/>
    <w:rsid w:val="21593EAD"/>
    <w:rsid w:val="216F4FDC"/>
    <w:rsid w:val="21B9152C"/>
    <w:rsid w:val="220E32FF"/>
    <w:rsid w:val="222F38FF"/>
    <w:rsid w:val="22317595"/>
    <w:rsid w:val="22575D65"/>
    <w:rsid w:val="22B37441"/>
    <w:rsid w:val="22B93386"/>
    <w:rsid w:val="22C556EB"/>
    <w:rsid w:val="233730AA"/>
    <w:rsid w:val="23467E79"/>
    <w:rsid w:val="23836A6C"/>
    <w:rsid w:val="23CD5609"/>
    <w:rsid w:val="24292697"/>
    <w:rsid w:val="243C6BBE"/>
    <w:rsid w:val="24633988"/>
    <w:rsid w:val="246761D3"/>
    <w:rsid w:val="247C4CAF"/>
    <w:rsid w:val="24B05176"/>
    <w:rsid w:val="24C54C02"/>
    <w:rsid w:val="24EE6024"/>
    <w:rsid w:val="25575E4B"/>
    <w:rsid w:val="256512A0"/>
    <w:rsid w:val="256A5576"/>
    <w:rsid w:val="25C5783D"/>
    <w:rsid w:val="26111D87"/>
    <w:rsid w:val="265E2902"/>
    <w:rsid w:val="26674003"/>
    <w:rsid w:val="268120CF"/>
    <w:rsid w:val="268B6998"/>
    <w:rsid w:val="26AB2E0B"/>
    <w:rsid w:val="2701616B"/>
    <w:rsid w:val="272A35D6"/>
    <w:rsid w:val="27606D65"/>
    <w:rsid w:val="276C698E"/>
    <w:rsid w:val="27883A53"/>
    <w:rsid w:val="279972E5"/>
    <w:rsid w:val="27A31274"/>
    <w:rsid w:val="27E227C8"/>
    <w:rsid w:val="27E54B4F"/>
    <w:rsid w:val="27F72F69"/>
    <w:rsid w:val="286125FC"/>
    <w:rsid w:val="28C87C20"/>
    <w:rsid w:val="28D84354"/>
    <w:rsid w:val="28E33695"/>
    <w:rsid w:val="28EC7DF1"/>
    <w:rsid w:val="290663F3"/>
    <w:rsid w:val="29141560"/>
    <w:rsid w:val="292B6F79"/>
    <w:rsid w:val="29D01F1B"/>
    <w:rsid w:val="29F755FD"/>
    <w:rsid w:val="2A2B3872"/>
    <w:rsid w:val="2A686FA9"/>
    <w:rsid w:val="2A6D1C2E"/>
    <w:rsid w:val="2AC50C73"/>
    <w:rsid w:val="2B0C3138"/>
    <w:rsid w:val="2B5E22A3"/>
    <w:rsid w:val="2BAC1843"/>
    <w:rsid w:val="2BC967EE"/>
    <w:rsid w:val="2BD60D02"/>
    <w:rsid w:val="2BE06910"/>
    <w:rsid w:val="2C26091F"/>
    <w:rsid w:val="2C8753A6"/>
    <w:rsid w:val="2C8F3F23"/>
    <w:rsid w:val="2CB41243"/>
    <w:rsid w:val="2CF10EC4"/>
    <w:rsid w:val="2D0A1FD1"/>
    <w:rsid w:val="2D135671"/>
    <w:rsid w:val="2D3038A5"/>
    <w:rsid w:val="2D652C1C"/>
    <w:rsid w:val="2D756881"/>
    <w:rsid w:val="2D9134F7"/>
    <w:rsid w:val="2D9361D0"/>
    <w:rsid w:val="2DA813C4"/>
    <w:rsid w:val="2DAF4AE4"/>
    <w:rsid w:val="2DB3178A"/>
    <w:rsid w:val="2E2E5B3C"/>
    <w:rsid w:val="2E35627A"/>
    <w:rsid w:val="2E3F4932"/>
    <w:rsid w:val="2E4846CC"/>
    <w:rsid w:val="2E5572BB"/>
    <w:rsid w:val="2E605017"/>
    <w:rsid w:val="2F2D53D4"/>
    <w:rsid w:val="2F6030D8"/>
    <w:rsid w:val="2F671632"/>
    <w:rsid w:val="2F701AE9"/>
    <w:rsid w:val="2FAD3001"/>
    <w:rsid w:val="2FBB17B1"/>
    <w:rsid w:val="2FD321EB"/>
    <w:rsid w:val="2FE60C64"/>
    <w:rsid w:val="2FEE3442"/>
    <w:rsid w:val="2FF009F9"/>
    <w:rsid w:val="30211958"/>
    <w:rsid w:val="30247607"/>
    <w:rsid w:val="30366AB2"/>
    <w:rsid w:val="30AE40DC"/>
    <w:rsid w:val="30CA6CB4"/>
    <w:rsid w:val="30DA7106"/>
    <w:rsid w:val="31881775"/>
    <w:rsid w:val="31992D2F"/>
    <w:rsid w:val="31BC71CB"/>
    <w:rsid w:val="31E431D7"/>
    <w:rsid w:val="32017F2D"/>
    <w:rsid w:val="321168A1"/>
    <w:rsid w:val="3233597F"/>
    <w:rsid w:val="323E5A4F"/>
    <w:rsid w:val="328504A7"/>
    <w:rsid w:val="329C6D03"/>
    <w:rsid w:val="32D63C9A"/>
    <w:rsid w:val="32E9110E"/>
    <w:rsid w:val="33350442"/>
    <w:rsid w:val="33380584"/>
    <w:rsid w:val="334076B3"/>
    <w:rsid w:val="339A0F89"/>
    <w:rsid w:val="33BE5A24"/>
    <w:rsid w:val="33E63947"/>
    <w:rsid w:val="344B12E1"/>
    <w:rsid w:val="34675DE0"/>
    <w:rsid w:val="347C58FD"/>
    <w:rsid w:val="347F1430"/>
    <w:rsid w:val="34837689"/>
    <w:rsid w:val="34CC275C"/>
    <w:rsid w:val="34DE228D"/>
    <w:rsid w:val="350106AA"/>
    <w:rsid w:val="35040486"/>
    <w:rsid w:val="352C162E"/>
    <w:rsid w:val="353827FE"/>
    <w:rsid w:val="356832B7"/>
    <w:rsid w:val="35C8554A"/>
    <w:rsid w:val="35F3603A"/>
    <w:rsid w:val="36221EF6"/>
    <w:rsid w:val="36466FEE"/>
    <w:rsid w:val="36846C05"/>
    <w:rsid w:val="369619D0"/>
    <w:rsid w:val="36B170B5"/>
    <w:rsid w:val="36C14733"/>
    <w:rsid w:val="36E116EC"/>
    <w:rsid w:val="374D4F16"/>
    <w:rsid w:val="374F263C"/>
    <w:rsid w:val="37D33822"/>
    <w:rsid w:val="37EE577C"/>
    <w:rsid w:val="388F0B7F"/>
    <w:rsid w:val="38BA0FFF"/>
    <w:rsid w:val="38D77F6E"/>
    <w:rsid w:val="39042908"/>
    <w:rsid w:val="390F2B84"/>
    <w:rsid w:val="391A3260"/>
    <w:rsid w:val="39632E8D"/>
    <w:rsid w:val="39850BEA"/>
    <w:rsid w:val="39BF71EA"/>
    <w:rsid w:val="3A182605"/>
    <w:rsid w:val="3A3C3BA1"/>
    <w:rsid w:val="3A4047F4"/>
    <w:rsid w:val="3AA05CA4"/>
    <w:rsid w:val="3AA7020D"/>
    <w:rsid w:val="3AB8268B"/>
    <w:rsid w:val="3AC47E34"/>
    <w:rsid w:val="3ADA3C6B"/>
    <w:rsid w:val="3AFE1465"/>
    <w:rsid w:val="3BC537BE"/>
    <w:rsid w:val="3BD379CF"/>
    <w:rsid w:val="3BD865E0"/>
    <w:rsid w:val="3BED5B18"/>
    <w:rsid w:val="3BFD674A"/>
    <w:rsid w:val="3C066DE3"/>
    <w:rsid w:val="3C7B3139"/>
    <w:rsid w:val="3D204761"/>
    <w:rsid w:val="3D230F66"/>
    <w:rsid w:val="3D264C5C"/>
    <w:rsid w:val="3D5F6F75"/>
    <w:rsid w:val="3D781A4D"/>
    <w:rsid w:val="3DC03A8D"/>
    <w:rsid w:val="3DDB165A"/>
    <w:rsid w:val="3DE21AB3"/>
    <w:rsid w:val="3E101689"/>
    <w:rsid w:val="3E1B052D"/>
    <w:rsid w:val="3E5271F0"/>
    <w:rsid w:val="3E595C5A"/>
    <w:rsid w:val="3E7F6E62"/>
    <w:rsid w:val="3EB50B56"/>
    <w:rsid w:val="3EF033DE"/>
    <w:rsid w:val="3F391D66"/>
    <w:rsid w:val="3F651E11"/>
    <w:rsid w:val="3F7F3E82"/>
    <w:rsid w:val="3FC860B2"/>
    <w:rsid w:val="3FCB27BE"/>
    <w:rsid w:val="3FEB352D"/>
    <w:rsid w:val="3FFA43EC"/>
    <w:rsid w:val="40201A48"/>
    <w:rsid w:val="404368FF"/>
    <w:rsid w:val="40673F79"/>
    <w:rsid w:val="406B1FB5"/>
    <w:rsid w:val="409B0092"/>
    <w:rsid w:val="409C56AF"/>
    <w:rsid w:val="40C46E73"/>
    <w:rsid w:val="41162F75"/>
    <w:rsid w:val="41385AA4"/>
    <w:rsid w:val="41FF5710"/>
    <w:rsid w:val="42046188"/>
    <w:rsid w:val="420500E6"/>
    <w:rsid w:val="421901DB"/>
    <w:rsid w:val="421F5D37"/>
    <w:rsid w:val="42646629"/>
    <w:rsid w:val="426B67E9"/>
    <w:rsid w:val="42765E8E"/>
    <w:rsid w:val="428D59F7"/>
    <w:rsid w:val="42B961D1"/>
    <w:rsid w:val="42C204D9"/>
    <w:rsid w:val="43030FC3"/>
    <w:rsid w:val="4308441F"/>
    <w:rsid w:val="43263754"/>
    <w:rsid w:val="435B5175"/>
    <w:rsid w:val="43B7050B"/>
    <w:rsid w:val="43C14900"/>
    <w:rsid w:val="43C30847"/>
    <w:rsid w:val="43C43990"/>
    <w:rsid w:val="43CD6976"/>
    <w:rsid w:val="43D62941"/>
    <w:rsid w:val="43F60872"/>
    <w:rsid w:val="44197961"/>
    <w:rsid w:val="443C0101"/>
    <w:rsid w:val="44415D07"/>
    <w:rsid w:val="44471984"/>
    <w:rsid w:val="448C0F6F"/>
    <w:rsid w:val="44963D3F"/>
    <w:rsid w:val="44A23B60"/>
    <w:rsid w:val="44F410F8"/>
    <w:rsid w:val="44F431B0"/>
    <w:rsid w:val="44F76A78"/>
    <w:rsid w:val="44F918BB"/>
    <w:rsid w:val="45564B6B"/>
    <w:rsid w:val="45972B1B"/>
    <w:rsid w:val="45A946BE"/>
    <w:rsid w:val="45BD763A"/>
    <w:rsid w:val="45C92CC9"/>
    <w:rsid w:val="45F87898"/>
    <w:rsid w:val="464006B9"/>
    <w:rsid w:val="466E3607"/>
    <w:rsid w:val="46903011"/>
    <w:rsid w:val="46922C75"/>
    <w:rsid w:val="46F34AFF"/>
    <w:rsid w:val="472F2B48"/>
    <w:rsid w:val="47967425"/>
    <w:rsid w:val="47986C3E"/>
    <w:rsid w:val="479D1D11"/>
    <w:rsid w:val="47A404FF"/>
    <w:rsid w:val="48281CF4"/>
    <w:rsid w:val="48320D62"/>
    <w:rsid w:val="48615798"/>
    <w:rsid w:val="49001DC5"/>
    <w:rsid w:val="490D0E02"/>
    <w:rsid w:val="49282678"/>
    <w:rsid w:val="494F2788"/>
    <w:rsid w:val="49530DC9"/>
    <w:rsid w:val="495F6193"/>
    <w:rsid w:val="49703F31"/>
    <w:rsid w:val="499241B1"/>
    <w:rsid w:val="49A44E83"/>
    <w:rsid w:val="49CF6534"/>
    <w:rsid w:val="49D96337"/>
    <w:rsid w:val="49DD7ACC"/>
    <w:rsid w:val="49E2726F"/>
    <w:rsid w:val="4A780B3A"/>
    <w:rsid w:val="4A92273C"/>
    <w:rsid w:val="4AA31463"/>
    <w:rsid w:val="4AA95C1D"/>
    <w:rsid w:val="4AB71B4F"/>
    <w:rsid w:val="4B2B6FA4"/>
    <w:rsid w:val="4B4A16CE"/>
    <w:rsid w:val="4B85474A"/>
    <w:rsid w:val="4B974CC6"/>
    <w:rsid w:val="4B991C7C"/>
    <w:rsid w:val="4BDE2C2B"/>
    <w:rsid w:val="4BE33054"/>
    <w:rsid w:val="4C1822AF"/>
    <w:rsid w:val="4C764339"/>
    <w:rsid w:val="4CF833BF"/>
    <w:rsid w:val="4D0921BF"/>
    <w:rsid w:val="4D1773AD"/>
    <w:rsid w:val="4D6E0EE1"/>
    <w:rsid w:val="4D8232FF"/>
    <w:rsid w:val="4D8B137D"/>
    <w:rsid w:val="4D9A033D"/>
    <w:rsid w:val="4DA230AA"/>
    <w:rsid w:val="4DAA2980"/>
    <w:rsid w:val="4DAD4A12"/>
    <w:rsid w:val="4E397224"/>
    <w:rsid w:val="4E4D3CDB"/>
    <w:rsid w:val="4E5656D5"/>
    <w:rsid w:val="4E76530A"/>
    <w:rsid w:val="4E9D4BEF"/>
    <w:rsid w:val="4ED773F6"/>
    <w:rsid w:val="4EEA6B3E"/>
    <w:rsid w:val="4F545F81"/>
    <w:rsid w:val="4F5B13AD"/>
    <w:rsid w:val="4F710527"/>
    <w:rsid w:val="4F80738E"/>
    <w:rsid w:val="4FBC29AC"/>
    <w:rsid w:val="4FDA03E3"/>
    <w:rsid w:val="505156CC"/>
    <w:rsid w:val="5057052A"/>
    <w:rsid w:val="50B41F3F"/>
    <w:rsid w:val="5106061D"/>
    <w:rsid w:val="5150776F"/>
    <w:rsid w:val="516A53D9"/>
    <w:rsid w:val="51703B14"/>
    <w:rsid w:val="5186553E"/>
    <w:rsid w:val="51A664DF"/>
    <w:rsid w:val="51AB2A52"/>
    <w:rsid w:val="51C72C56"/>
    <w:rsid w:val="522A7A42"/>
    <w:rsid w:val="527F67BA"/>
    <w:rsid w:val="52A46576"/>
    <w:rsid w:val="52CF3E45"/>
    <w:rsid w:val="52E052E0"/>
    <w:rsid w:val="52FD08B5"/>
    <w:rsid w:val="53197381"/>
    <w:rsid w:val="533E4D98"/>
    <w:rsid w:val="536235EF"/>
    <w:rsid w:val="53686D4B"/>
    <w:rsid w:val="536A49F7"/>
    <w:rsid w:val="539946DB"/>
    <w:rsid w:val="53B13491"/>
    <w:rsid w:val="540F254E"/>
    <w:rsid w:val="54174F0C"/>
    <w:rsid w:val="541D2DDE"/>
    <w:rsid w:val="54230D61"/>
    <w:rsid w:val="5436170E"/>
    <w:rsid w:val="54ED4C08"/>
    <w:rsid w:val="54F57080"/>
    <w:rsid w:val="55352C68"/>
    <w:rsid w:val="55402190"/>
    <w:rsid w:val="55601C2D"/>
    <w:rsid w:val="559B38E7"/>
    <w:rsid w:val="55A145F3"/>
    <w:rsid w:val="55C923AD"/>
    <w:rsid w:val="55F85A3C"/>
    <w:rsid w:val="56322D7E"/>
    <w:rsid w:val="56556D0E"/>
    <w:rsid w:val="56830BBC"/>
    <w:rsid w:val="56F67B69"/>
    <w:rsid w:val="57300CA2"/>
    <w:rsid w:val="57942108"/>
    <w:rsid w:val="57B309C2"/>
    <w:rsid w:val="57BC26E2"/>
    <w:rsid w:val="57D32EA3"/>
    <w:rsid w:val="57EFFFDD"/>
    <w:rsid w:val="58007514"/>
    <w:rsid w:val="580679AB"/>
    <w:rsid w:val="585845E0"/>
    <w:rsid w:val="58E47375"/>
    <w:rsid w:val="58F20BAA"/>
    <w:rsid w:val="59007707"/>
    <w:rsid w:val="591C7661"/>
    <w:rsid w:val="593B38F1"/>
    <w:rsid w:val="598944D2"/>
    <w:rsid w:val="59CC0E42"/>
    <w:rsid w:val="5A007A6A"/>
    <w:rsid w:val="5A161C2A"/>
    <w:rsid w:val="5A1B3FE2"/>
    <w:rsid w:val="5A62436B"/>
    <w:rsid w:val="5AFB1635"/>
    <w:rsid w:val="5B5421C7"/>
    <w:rsid w:val="5B903BB7"/>
    <w:rsid w:val="5B922C26"/>
    <w:rsid w:val="5B9B628F"/>
    <w:rsid w:val="5BA77FBB"/>
    <w:rsid w:val="5BB87E63"/>
    <w:rsid w:val="5BD54807"/>
    <w:rsid w:val="5C15767E"/>
    <w:rsid w:val="5C1832E8"/>
    <w:rsid w:val="5C787C76"/>
    <w:rsid w:val="5C88396F"/>
    <w:rsid w:val="5CB83EFB"/>
    <w:rsid w:val="5CCC15A0"/>
    <w:rsid w:val="5D0E6BAD"/>
    <w:rsid w:val="5D3F072F"/>
    <w:rsid w:val="5D5E0BF7"/>
    <w:rsid w:val="5D6232E5"/>
    <w:rsid w:val="5D72384D"/>
    <w:rsid w:val="5DB07417"/>
    <w:rsid w:val="5DBA2F65"/>
    <w:rsid w:val="5DE21556"/>
    <w:rsid w:val="5DEA4C6A"/>
    <w:rsid w:val="5DEE782B"/>
    <w:rsid w:val="5DEEBFCA"/>
    <w:rsid w:val="5E074C83"/>
    <w:rsid w:val="5E466CD7"/>
    <w:rsid w:val="5E514597"/>
    <w:rsid w:val="5E854F5E"/>
    <w:rsid w:val="5E8C79CF"/>
    <w:rsid w:val="5EF62F24"/>
    <w:rsid w:val="5F1B353C"/>
    <w:rsid w:val="5F7D1971"/>
    <w:rsid w:val="5F8272AA"/>
    <w:rsid w:val="5F830718"/>
    <w:rsid w:val="5FB30DD5"/>
    <w:rsid w:val="5FBEDC50"/>
    <w:rsid w:val="5FBFAB14"/>
    <w:rsid w:val="5FC0439F"/>
    <w:rsid w:val="5FD3036B"/>
    <w:rsid w:val="5FF3325A"/>
    <w:rsid w:val="5FF64EA1"/>
    <w:rsid w:val="5FFFA9BB"/>
    <w:rsid w:val="60180276"/>
    <w:rsid w:val="60515957"/>
    <w:rsid w:val="607A75F6"/>
    <w:rsid w:val="60892432"/>
    <w:rsid w:val="609047C5"/>
    <w:rsid w:val="609D7118"/>
    <w:rsid w:val="60C21781"/>
    <w:rsid w:val="60C53457"/>
    <w:rsid w:val="61110934"/>
    <w:rsid w:val="61332E24"/>
    <w:rsid w:val="61FE5692"/>
    <w:rsid w:val="621671C2"/>
    <w:rsid w:val="624C4C54"/>
    <w:rsid w:val="624F706F"/>
    <w:rsid w:val="626B7562"/>
    <w:rsid w:val="628D5546"/>
    <w:rsid w:val="62AC5FD6"/>
    <w:rsid w:val="62DD07B8"/>
    <w:rsid w:val="6305382E"/>
    <w:rsid w:val="635F5898"/>
    <w:rsid w:val="63AC7075"/>
    <w:rsid w:val="63C42351"/>
    <w:rsid w:val="63C50694"/>
    <w:rsid w:val="64101EAF"/>
    <w:rsid w:val="644D2787"/>
    <w:rsid w:val="646F7848"/>
    <w:rsid w:val="649C5108"/>
    <w:rsid w:val="64A15222"/>
    <w:rsid w:val="64B67C3D"/>
    <w:rsid w:val="64EB22AC"/>
    <w:rsid w:val="65456004"/>
    <w:rsid w:val="65640589"/>
    <w:rsid w:val="65B407A4"/>
    <w:rsid w:val="65CA16B3"/>
    <w:rsid w:val="65CB620A"/>
    <w:rsid w:val="65F25091"/>
    <w:rsid w:val="66042812"/>
    <w:rsid w:val="661A6241"/>
    <w:rsid w:val="66316189"/>
    <w:rsid w:val="66580D6C"/>
    <w:rsid w:val="66756533"/>
    <w:rsid w:val="66780D3C"/>
    <w:rsid w:val="66936A3C"/>
    <w:rsid w:val="669522CF"/>
    <w:rsid w:val="66BE2732"/>
    <w:rsid w:val="66BE38CD"/>
    <w:rsid w:val="671336C4"/>
    <w:rsid w:val="6787573F"/>
    <w:rsid w:val="679C6E24"/>
    <w:rsid w:val="67AA0282"/>
    <w:rsid w:val="67CD77DC"/>
    <w:rsid w:val="6830169E"/>
    <w:rsid w:val="683F6207"/>
    <w:rsid w:val="68460CA3"/>
    <w:rsid w:val="68580D24"/>
    <w:rsid w:val="68702DDD"/>
    <w:rsid w:val="68846D78"/>
    <w:rsid w:val="68A63B62"/>
    <w:rsid w:val="68BA0F76"/>
    <w:rsid w:val="68EC0DDE"/>
    <w:rsid w:val="693432A5"/>
    <w:rsid w:val="693D11B9"/>
    <w:rsid w:val="693E27FF"/>
    <w:rsid w:val="695F602C"/>
    <w:rsid w:val="697A5445"/>
    <w:rsid w:val="698E736F"/>
    <w:rsid w:val="69DE46A2"/>
    <w:rsid w:val="6A460F8D"/>
    <w:rsid w:val="6A4C3F4C"/>
    <w:rsid w:val="6A783EC2"/>
    <w:rsid w:val="6A893DCB"/>
    <w:rsid w:val="6A9D413F"/>
    <w:rsid w:val="6AFB63C9"/>
    <w:rsid w:val="6B23035E"/>
    <w:rsid w:val="6BBE4BA1"/>
    <w:rsid w:val="6BEB0B95"/>
    <w:rsid w:val="6C0C028D"/>
    <w:rsid w:val="6C4A7D73"/>
    <w:rsid w:val="6C645C16"/>
    <w:rsid w:val="6C7A0D66"/>
    <w:rsid w:val="6C9E2A6A"/>
    <w:rsid w:val="6CEF33B6"/>
    <w:rsid w:val="6D194AD9"/>
    <w:rsid w:val="6D7823FB"/>
    <w:rsid w:val="6DF00067"/>
    <w:rsid w:val="6E324A71"/>
    <w:rsid w:val="6E442950"/>
    <w:rsid w:val="6E6E7C48"/>
    <w:rsid w:val="6E997AD6"/>
    <w:rsid w:val="6ECA0EEA"/>
    <w:rsid w:val="6EFF0B2C"/>
    <w:rsid w:val="6F1C30C7"/>
    <w:rsid w:val="6F7E745E"/>
    <w:rsid w:val="6F9D189A"/>
    <w:rsid w:val="6FAE5E3E"/>
    <w:rsid w:val="6FBD2192"/>
    <w:rsid w:val="6FC12C2E"/>
    <w:rsid w:val="6FD84CB9"/>
    <w:rsid w:val="6FE20742"/>
    <w:rsid w:val="6FFA2C8E"/>
    <w:rsid w:val="702F2A3B"/>
    <w:rsid w:val="70313620"/>
    <w:rsid w:val="705B4632"/>
    <w:rsid w:val="707F0ECB"/>
    <w:rsid w:val="70DC1F29"/>
    <w:rsid w:val="70E17EAD"/>
    <w:rsid w:val="70E35187"/>
    <w:rsid w:val="711306DD"/>
    <w:rsid w:val="712B5B15"/>
    <w:rsid w:val="714A51C3"/>
    <w:rsid w:val="71655948"/>
    <w:rsid w:val="71A97623"/>
    <w:rsid w:val="71DB21F9"/>
    <w:rsid w:val="71E20CD6"/>
    <w:rsid w:val="71E33EBB"/>
    <w:rsid w:val="71FF595D"/>
    <w:rsid w:val="72180E4C"/>
    <w:rsid w:val="722B4659"/>
    <w:rsid w:val="722B611D"/>
    <w:rsid w:val="72326FD4"/>
    <w:rsid w:val="72572DE1"/>
    <w:rsid w:val="72992AD5"/>
    <w:rsid w:val="72DB4726"/>
    <w:rsid w:val="73422C12"/>
    <w:rsid w:val="737360B6"/>
    <w:rsid w:val="73E0613B"/>
    <w:rsid w:val="73F73EE0"/>
    <w:rsid w:val="73FD77C1"/>
    <w:rsid w:val="7463544C"/>
    <w:rsid w:val="74A459A9"/>
    <w:rsid w:val="74CB2EBA"/>
    <w:rsid w:val="74D47355"/>
    <w:rsid w:val="74D8684A"/>
    <w:rsid w:val="751D365C"/>
    <w:rsid w:val="753676EB"/>
    <w:rsid w:val="753D1C1D"/>
    <w:rsid w:val="753F3A9E"/>
    <w:rsid w:val="7540734E"/>
    <w:rsid w:val="75564EEC"/>
    <w:rsid w:val="755A0893"/>
    <w:rsid w:val="757851C8"/>
    <w:rsid w:val="75D11768"/>
    <w:rsid w:val="75D31755"/>
    <w:rsid w:val="75DD7394"/>
    <w:rsid w:val="75ED18A7"/>
    <w:rsid w:val="7608475F"/>
    <w:rsid w:val="766600E2"/>
    <w:rsid w:val="7670385C"/>
    <w:rsid w:val="76B15965"/>
    <w:rsid w:val="76DF4B14"/>
    <w:rsid w:val="77083308"/>
    <w:rsid w:val="772E2D16"/>
    <w:rsid w:val="77687AEE"/>
    <w:rsid w:val="7791508B"/>
    <w:rsid w:val="77983C0B"/>
    <w:rsid w:val="77A266DF"/>
    <w:rsid w:val="77A8611F"/>
    <w:rsid w:val="77B827E9"/>
    <w:rsid w:val="77B8579A"/>
    <w:rsid w:val="77CC4CB9"/>
    <w:rsid w:val="77E56701"/>
    <w:rsid w:val="77EF78BC"/>
    <w:rsid w:val="77F00808"/>
    <w:rsid w:val="78FC54BA"/>
    <w:rsid w:val="78FF95AE"/>
    <w:rsid w:val="793A7DC6"/>
    <w:rsid w:val="793BAD8B"/>
    <w:rsid w:val="79482117"/>
    <w:rsid w:val="79552297"/>
    <w:rsid w:val="797E3479"/>
    <w:rsid w:val="79992008"/>
    <w:rsid w:val="79CB548E"/>
    <w:rsid w:val="79D55165"/>
    <w:rsid w:val="79D55C80"/>
    <w:rsid w:val="7A631800"/>
    <w:rsid w:val="7AC17B70"/>
    <w:rsid w:val="7ACB41EC"/>
    <w:rsid w:val="7AD777B0"/>
    <w:rsid w:val="7AD95C02"/>
    <w:rsid w:val="7AFFED0A"/>
    <w:rsid w:val="7B061279"/>
    <w:rsid w:val="7BA95AA2"/>
    <w:rsid w:val="7BB17C6C"/>
    <w:rsid w:val="7C49038D"/>
    <w:rsid w:val="7C7700CC"/>
    <w:rsid w:val="7CA87BFD"/>
    <w:rsid w:val="7CDB93E7"/>
    <w:rsid w:val="7D270BA7"/>
    <w:rsid w:val="7D6679D9"/>
    <w:rsid w:val="7D816424"/>
    <w:rsid w:val="7DB9547E"/>
    <w:rsid w:val="7DDDBA3F"/>
    <w:rsid w:val="7DFE93C3"/>
    <w:rsid w:val="7DFF8D76"/>
    <w:rsid w:val="7E231664"/>
    <w:rsid w:val="7E8B2A56"/>
    <w:rsid w:val="7E9D5287"/>
    <w:rsid w:val="7F360FE1"/>
    <w:rsid w:val="7F47331D"/>
    <w:rsid w:val="7F4E66FA"/>
    <w:rsid w:val="7F7812A4"/>
    <w:rsid w:val="7F8472C5"/>
    <w:rsid w:val="7F881012"/>
    <w:rsid w:val="7F973944"/>
    <w:rsid w:val="7F9B5F32"/>
    <w:rsid w:val="7FA805D1"/>
    <w:rsid w:val="7FBF0E4A"/>
    <w:rsid w:val="7FC522C0"/>
    <w:rsid w:val="7FDDD770"/>
    <w:rsid w:val="7FFEBE57"/>
    <w:rsid w:val="AEFF4B53"/>
    <w:rsid w:val="AF9BC1B6"/>
    <w:rsid w:val="BBFFF202"/>
    <w:rsid w:val="BEBA630F"/>
    <w:rsid w:val="BF7F7487"/>
    <w:rsid w:val="CF5C3F5C"/>
    <w:rsid w:val="D3FA6D6B"/>
    <w:rsid w:val="DFFF1538"/>
    <w:rsid w:val="EEEFB6CF"/>
    <w:rsid w:val="EF5E840C"/>
    <w:rsid w:val="EFF570C5"/>
    <w:rsid w:val="EFFFBE4F"/>
    <w:rsid w:val="F7F700EB"/>
    <w:rsid w:val="F87AEFD2"/>
    <w:rsid w:val="F9C7EBB6"/>
    <w:rsid w:val="FB34E9FD"/>
    <w:rsid w:val="FB3F94CC"/>
    <w:rsid w:val="FBB7F739"/>
    <w:rsid w:val="FD7C8FB8"/>
    <w:rsid w:val="FED62496"/>
    <w:rsid w:val="FEF3D22F"/>
    <w:rsid w:val="FEFD5699"/>
    <w:rsid w:val="FFB9AB96"/>
    <w:rsid w:val="FFBF2AE4"/>
    <w:rsid w:val="FFFD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spacing w:before="100" w:after="90"/>
      <w:outlineLvl w:val="0"/>
    </w:pPr>
    <w:rPr>
      <w:rFonts w:eastAsia="仿宋"/>
      <w:b/>
      <w:bCs/>
      <w:kern w:val="44"/>
      <w:sz w:val="32"/>
      <w:szCs w:val="44"/>
    </w:rPr>
  </w:style>
  <w:style w:type="paragraph" w:styleId="4">
    <w:name w:val="heading 2"/>
    <w:basedOn w:val="1"/>
    <w:next w:val="1"/>
    <w:link w:val="34"/>
    <w:unhideWhenUsed/>
    <w:qFormat/>
    <w:uiPriority w:val="9"/>
    <w:pPr>
      <w:keepNext/>
      <w:keepLines/>
      <w:spacing w:line="416" w:lineRule="auto"/>
      <w:outlineLvl w:val="1"/>
    </w:pPr>
    <w:rPr>
      <w:rFonts w:eastAsia="仿宋" w:asciiTheme="majorHAnsi" w:hAnsiTheme="majorHAnsi" w:cstheme="majorBidi"/>
      <w:b/>
      <w:bCs/>
      <w:sz w:val="30"/>
      <w:szCs w:val="32"/>
    </w:rPr>
  </w:style>
  <w:style w:type="paragraph" w:styleId="5">
    <w:name w:val="heading 3"/>
    <w:basedOn w:val="1"/>
    <w:next w:val="1"/>
    <w:link w:val="35"/>
    <w:unhideWhenUsed/>
    <w:qFormat/>
    <w:uiPriority w:val="9"/>
    <w:pPr>
      <w:keepNext/>
      <w:keepLines/>
      <w:adjustRightInd w:val="0"/>
      <w:snapToGrid w:val="0"/>
      <w:spacing w:before="260" w:after="260" w:line="416" w:lineRule="atLeast"/>
      <w:ind w:firstLine="200" w:firstLineChars="200"/>
      <w:outlineLvl w:val="2"/>
    </w:pPr>
    <w:rPr>
      <w:rFonts w:ascii="Times New Roman" w:hAnsi="Times New Roman" w:eastAsia="仿宋" w:cs="Times New Roman"/>
      <w:b/>
      <w:bCs/>
      <w:sz w:val="32"/>
      <w:szCs w:val="32"/>
    </w:rPr>
  </w:style>
  <w:style w:type="paragraph" w:styleId="6">
    <w:name w:val="heading 4"/>
    <w:basedOn w:val="1"/>
    <w:next w:val="1"/>
    <w:link w:val="36"/>
    <w:qFormat/>
    <w:uiPriority w:val="9"/>
    <w:pPr>
      <w:keepNext/>
      <w:keepLines/>
      <w:spacing w:before="280" w:after="290" w:line="376" w:lineRule="auto"/>
      <w:outlineLvl w:val="3"/>
    </w:pPr>
    <w:rPr>
      <w:rFonts w:ascii="Cambria" w:hAnsi="Cambria" w:eastAsia="宋体" w:cs="Times New Roman"/>
      <w:b/>
      <w:bCs/>
      <w:sz w:val="28"/>
      <w:szCs w:val="28"/>
      <w:lang w:val="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4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600" w:lineRule="exact"/>
      <w:ind w:firstLine="200" w:firstLineChars="200"/>
      <w:jc w:val="left"/>
    </w:pPr>
    <w:rPr>
      <w:rFonts w:ascii="宋体" w:hAnsi="宋体" w:eastAsia="仿宋" w:cs="Times New Roman"/>
      <w:color w:val="000000"/>
      <w:kern w:val="0"/>
      <w:sz w:val="24"/>
      <w:szCs w:val="24"/>
    </w:rPr>
  </w:style>
  <w:style w:type="paragraph" w:styleId="7">
    <w:name w:val="toc 7"/>
    <w:basedOn w:val="1"/>
    <w:next w:val="1"/>
    <w:unhideWhenUsed/>
    <w:qFormat/>
    <w:uiPriority w:val="39"/>
    <w:pPr>
      <w:ind w:left="2520" w:leftChars="1200"/>
    </w:pPr>
  </w:style>
  <w:style w:type="paragraph" w:styleId="8">
    <w:name w:val="Normal Indent"/>
    <w:basedOn w:val="1"/>
    <w:qFormat/>
    <w:uiPriority w:val="0"/>
    <w:pPr>
      <w:ind w:firstLine="420" w:firstLineChars="200"/>
    </w:pPr>
    <w:rPr>
      <w:rFonts w:ascii="Times New Roman" w:hAnsi="Times New Roman" w:eastAsia="宋体" w:cs="Times New Roman"/>
      <w:szCs w:val="24"/>
    </w:rPr>
  </w:style>
  <w:style w:type="paragraph" w:styleId="9">
    <w:name w:val="annotation text"/>
    <w:basedOn w:val="1"/>
    <w:link w:val="67"/>
    <w:semiHidden/>
    <w:unhideWhenUsed/>
    <w:qFormat/>
    <w:uiPriority w:val="99"/>
    <w:pPr>
      <w:jc w:val="left"/>
    </w:pPr>
  </w:style>
  <w:style w:type="paragraph" w:styleId="10">
    <w:name w:val="Body Text"/>
    <w:basedOn w:val="1"/>
    <w:link w:val="75"/>
    <w:qFormat/>
    <w:uiPriority w:val="0"/>
    <w:pPr>
      <w:spacing w:after="120"/>
    </w:pPr>
    <w:rPr>
      <w:rFonts w:eastAsia="宋体"/>
      <w:szCs w:val="24"/>
    </w:rPr>
  </w:style>
  <w:style w:type="paragraph" w:styleId="11">
    <w:name w:val="Body Text Indent"/>
    <w:basedOn w:val="1"/>
    <w:link w:val="57"/>
    <w:semiHidden/>
    <w:unhideWhenUsed/>
    <w:qFormat/>
    <w:uiPriority w:val="99"/>
    <w:pPr>
      <w:spacing w:after="120"/>
      <w:ind w:left="420" w:leftChars="200"/>
    </w:pPr>
  </w:style>
  <w:style w:type="paragraph" w:styleId="12">
    <w:name w:val="toc 5"/>
    <w:basedOn w:val="1"/>
    <w:next w:val="1"/>
    <w:unhideWhenUsed/>
    <w:qFormat/>
    <w:uiPriority w:val="39"/>
    <w:pPr>
      <w:ind w:left="1680" w:leftChars="800"/>
    </w:pPr>
  </w:style>
  <w:style w:type="paragraph" w:styleId="13">
    <w:name w:val="toc 3"/>
    <w:basedOn w:val="1"/>
    <w:next w:val="1"/>
    <w:unhideWhenUsed/>
    <w:qFormat/>
    <w:uiPriority w:val="39"/>
    <w:pPr>
      <w:ind w:left="840" w:leftChars="400"/>
    </w:pPr>
  </w:style>
  <w:style w:type="paragraph" w:styleId="14">
    <w:name w:val="Plain Text"/>
    <w:basedOn w:val="1"/>
    <w:link w:val="58"/>
    <w:qFormat/>
    <w:uiPriority w:val="0"/>
    <w:rPr>
      <w:rFonts w:ascii="宋体" w:hAnsi="Courier New" w:eastAsia="宋体" w:cs="Courier New"/>
      <w:szCs w:val="21"/>
    </w:rPr>
  </w:style>
  <w:style w:type="paragraph" w:styleId="15">
    <w:name w:val="toc 8"/>
    <w:basedOn w:val="1"/>
    <w:next w:val="1"/>
    <w:unhideWhenUsed/>
    <w:qFormat/>
    <w:uiPriority w:val="39"/>
    <w:pPr>
      <w:ind w:left="2940" w:leftChars="1400"/>
    </w:pPr>
  </w:style>
  <w:style w:type="paragraph" w:styleId="16">
    <w:name w:val="Date"/>
    <w:basedOn w:val="1"/>
    <w:next w:val="1"/>
    <w:link w:val="54"/>
    <w:semiHidden/>
    <w:unhideWhenUsed/>
    <w:qFormat/>
    <w:uiPriority w:val="99"/>
    <w:pPr>
      <w:spacing w:line="360" w:lineRule="auto"/>
      <w:ind w:left="100" w:leftChars="2500" w:firstLine="200" w:firstLineChars="200"/>
    </w:pPr>
    <w:rPr>
      <w:sz w:val="24"/>
    </w:rPr>
  </w:style>
  <w:style w:type="paragraph" w:styleId="17">
    <w:name w:val="Balloon Text"/>
    <w:basedOn w:val="1"/>
    <w:link w:val="37"/>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ind w:firstLine="200" w:firstLineChars="20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toc 4"/>
    <w:basedOn w:val="1"/>
    <w:next w:val="1"/>
    <w:unhideWhenUsed/>
    <w:qFormat/>
    <w:uiPriority w:val="39"/>
    <w:pPr>
      <w:ind w:left="1260" w:leftChars="600"/>
    </w:pPr>
  </w:style>
  <w:style w:type="paragraph" w:styleId="22">
    <w:name w:val="toc 6"/>
    <w:basedOn w:val="1"/>
    <w:next w:val="1"/>
    <w:unhideWhenUsed/>
    <w:qFormat/>
    <w:uiPriority w:val="39"/>
    <w:pPr>
      <w:ind w:left="2100" w:leftChars="1000"/>
    </w:pPr>
  </w:style>
  <w:style w:type="paragraph" w:styleId="23">
    <w:name w:val="toc 2"/>
    <w:basedOn w:val="1"/>
    <w:next w:val="1"/>
    <w:unhideWhenUsed/>
    <w:qFormat/>
    <w:uiPriority w:val="39"/>
    <w:pPr>
      <w:ind w:left="420" w:leftChars="200"/>
    </w:pPr>
  </w:style>
  <w:style w:type="paragraph" w:styleId="24">
    <w:name w:val="toc 9"/>
    <w:basedOn w:val="1"/>
    <w:next w:val="1"/>
    <w:unhideWhenUsed/>
    <w:qFormat/>
    <w:uiPriority w:val="39"/>
    <w:pPr>
      <w:ind w:left="3360" w:leftChars="1600"/>
    </w:pPr>
  </w:style>
  <w:style w:type="paragraph" w:styleId="2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6">
    <w:name w:val="annotation subject"/>
    <w:basedOn w:val="9"/>
    <w:next w:val="9"/>
    <w:link w:val="68"/>
    <w:semiHidden/>
    <w:unhideWhenUsed/>
    <w:qFormat/>
    <w:uiPriority w:val="99"/>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99"/>
    <w:rPr>
      <w:rFonts w:cs="Times New Roman"/>
    </w:rPr>
  </w:style>
  <w:style w:type="character" w:styleId="31">
    <w:name w:val="Hyperlink"/>
    <w:basedOn w:val="29"/>
    <w:unhideWhenUsed/>
    <w:qFormat/>
    <w:uiPriority w:val="99"/>
    <w:rPr>
      <w:color w:val="0563C1" w:themeColor="hyperlink"/>
      <w:u w:val="single"/>
      <w14:textFill>
        <w14:solidFill>
          <w14:schemeClr w14:val="hlink"/>
        </w14:solidFill>
      </w14:textFill>
    </w:rPr>
  </w:style>
  <w:style w:type="character" w:styleId="32">
    <w:name w:val="annotation reference"/>
    <w:basedOn w:val="29"/>
    <w:semiHidden/>
    <w:unhideWhenUsed/>
    <w:qFormat/>
    <w:uiPriority w:val="99"/>
    <w:rPr>
      <w:sz w:val="21"/>
      <w:szCs w:val="21"/>
    </w:rPr>
  </w:style>
  <w:style w:type="character" w:customStyle="1" w:styleId="33">
    <w:name w:val="标题 1 Char"/>
    <w:basedOn w:val="29"/>
    <w:link w:val="3"/>
    <w:qFormat/>
    <w:uiPriority w:val="9"/>
    <w:rPr>
      <w:rFonts w:eastAsia="仿宋"/>
      <w:b/>
      <w:bCs/>
      <w:kern w:val="44"/>
      <w:sz w:val="32"/>
      <w:szCs w:val="44"/>
    </w:rPr>
  </w:style>
  <w:style w:type="character" w:customStyle="1" w:styleId="34">
    <w:name w:val="标题 2 Char"/>
    <w:basedOn w:val="29"/>
    <w:link w:val="4"/>
    <w:qFormat/>
    <w:uiPriority w:val="9"/>
    <w:rPr>
      <w:rFonts w:eastAsia="仿宋" w:asciiTheme="majorHAnsi" w:hAnsiTheme="majorHAnsi" w:cstheme="majorBidi"/>
      <w:b/>
      <w:bCs/>
      <w:sz w:val="30"/>
      <w:szCs w:val="32"/>
    </w:rPr>
  </w:style>
  <w:style w:type="character" w:customStyle="1" w:styleId="35">
    <w:name w:val="标题 3 Char"/>
    <w:basedOn w:val="29"/>
    <w:link w:val="5"/>
    <w:qFormat/>
    <w:uiPriority w:val="9"/>
    <w:rPr>
      <w:rFonts w:ascii="Times New Roman" w:hAnsi="Times New Roman" w:eastAsia="仿宋" w:cs="Times New Roman"/>
      <w:b/>
      <w:bCs/>
      <w:sz w:val="32"/>
      <w:szCs w:val="32"/>
    </w:rPr>
  </w:style>
  <w:style w:type="character" w:customStyle="1" w:styleId="36">
    <w:name w:val="标题 4 Char"/>
    <w:basedOn w:val="29"/>
    <w:link w:val="6"/>
    <w:qFormat/>
    <w:uiPriority w:val="9"/>
    <w:rPr>
      <w:rFonts w:ascii="Cambria" w:hAnsi="Cambria" w:eastAsia="宋体" w:cs="Times New Roman"/>
      <w:b/>
      <w:bCs/>
      <w:sz w:val="28"/>
      <w:szCs w:val="28"/>
      <w:lang w:val="zh-CN" w:eastAsia="zh-CN"/>
    </w:rPr>
  </w:style>
  <w:style w:type="character" w:customStyle="1" w:styleId="37">
    <w:name w:val="批注框文本 Char"/>
    <w:basedOn w:val="29"/>
    <w:link w:val="17"/>
    <w:semiHidden/>
    <w:qFormat/>
    <w:uiPriority w:val="99"/>
    <w:rPr>
      <w:sz w:val="18"/>
      <w:szCs w:val="18"/>
    </w:rPr>
  </w:style>
  <w:style w:type="character" w:customStyle="1" w:styleId="38">
    <w:name w:val="页脚 Char"/>
    <w:link w:val="18"/>
    <w:qFormat/>
    <w:uiPriority w:val="99"/>
    <w:rPr>
      <w:sz w:val="18"/>
      <w:szCs w:val="18"/>
    </w:rPr>
  </w:style>
  <w:style w:type="character" w:customStyle="1" w:styleId="39">
    <w:name w:val="页脚 字符"/>
    <w:basedOn w:val="29"/>
    <w:qFormat/>
    <w:uiPriority w:val="99"/>
    <w:rPr>
      <w:sz w:val="18"/>
      <w:szCs w:val="18"/>
    </w:rPr>
  </w:style>
  <w:style w:type="character" w:customStyle="1" w:styleId="40">
    <w:name w:val="页眉 Char"/>
    <w:basedOn w:val="29"/>
    <w:link w:val="19"/>
    <w:qFormat/>
    <w:uiPriority w:val="99"/>
    <w:rPr>
      <w:sz w:val="18"/>
      <w:szCs w:val="18"/>
    </w:rPr>
  </w:style>
  <w:style w:type="paragraph" w:customStyle="1" w:styleId="4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42">
    <w:name w:val="HTML 预设格式 Char"/>
    <w:basedOn w:val="29"/>
    <w:link w:val="2"/>
    <w:qFormat/>
    <w:uiPriority w:val="99"/>
    <w:rPr>
      <w:rFonts w:ascii="宋体" w:hAnsi="宋体" w:eastAsia="仿宋" w:cs="Times New Roman"/>
      <w:color w:val="000000"/>
      <w:kern w:val="0"/>
      <w:sz w:val="24"/>
      <w:szCs w:val="24"/>
    </w:rPr>
  </w:style>
  <w:style w:type="paragraph" w:customStyle="1" w:styleId="43">
    <w:name w:val="样式50"/>
    <w:basedOn w:val="1"/>
    <w:qFormat/>
    <w:uiPriority w:val="0"/>
    <w:pPr>
      <w:adjustRightInd w:val="0"/>
      <w:snapToGrid w:val="0"/>
      <w:spacing w:line="360" w:lineRule="auto"/>
      <w:ind w:firstLine="560" w:firstLineChars="200"/>
    </w:pPr>
    <w:rPr>
      <w:rFonts w:ascii="宋体" w:hAnsi="宋体" w:eastAsia="宋体" w:cs="Times New Roman"/>
      <w:sz w:val="28"/>
      <w:szCs w:val="28"/>
    </w:rPr>
  </w:style>
  <w:style w:type="paragraph" w:customStyle="1" w:styleId="44">
    <w:name w:val="三级标题"/>
    <w:basedOn w:val="1"/>
    <w:next w:val="1"/>
    <w:link w:val="45"/>
    <w:qFormat/>
    <w:uiPriority w:val="0"/>
    <w:pPr>
      <w:spacing w:line="360" w:lineRule="auto"/>
      <w:ind w:firstLine="643" w:firstLineChars="200"/>
      <w:outlineLvl w:val="2"/>
    </w:pPr>
    <w:rPr>
      <w:rFonts w:ascii="黑体" w:eastAsia="楷体"/>
      <w:b/>
      <w:sz w:val="32"/>
      <w:szCs w:val="28"/>
    </w:rPr>
  </w:style>
  <w:style w:type="character" w:customStyle="1" w:styleId="45">
    <w:name w:val="三级标题 Char"/>
    <w:basedOn w:val="29"/>
    <w:link w:val="44"/>
    <w:qFormat/>
    <w:uiPriority w:val="0"/>
    <w:rPr>
      <w:rFonts w:ascii="黑体" w:eastAsia="楷体"/>
      <w:b/>
      <w:sz w:val="32"/>
      <w:szCs w:val="28"/>
    </w:rPr>
  </w:style>
  <w:style w:type="paragraph" w:customStyle="1" w:styleId="46">
    <w:name w:val="四级标题"/>
    <w:basedOn w:val="1"/>
    <w:next w:val="1"/>
    <w:link w:val="47"/>
    <w:qFormat/>
    <w:uiPriority w:val="0"/>
    <w:pPr>
      <w:spacing w:line="360" w:lineRule="auto"/>
      <w:outlineLvl w:val="3"/>
    </w:pPr>
    <w:rPr>
      <w:rFonts w:ascii="黑体" w:eastAsia="黑体"/>
      <w:sz w:val="28"/>
      <w:szCs w:val="28"/>
    </w:rPr>
  </w:style>
  <w:style w:type="character" w:customStyle="1" w:styleId="47">
    <w:name w:val="四级标题 Char"/>
    <w:basedOn w:val="29"/>
    <w:link w:val="46"/>
    <w:qFormat/>
    <w:uiPriority w:val="0"/>
    <w:rPr>
      <w:rFonts w:ascii="黑体" w:eastAsia="黑体"/>
      <w:sz w:val="28"/>
      <w:szCs w:val="28"/>
    </w:rPr>
  </w:style>
  <w:style w:type="paragraph" w:customStyle="1" w:styleId="48">
    <w:name w:val="表头"/>
    <w:basedOn w:val="1"/>
    <w:link w:val="49"/>
    <w:qFormat/>
    <w:uiPriority w:val="0"/>
    <w:pPr>
      <w:spacing w:line="360" w:lineRule="auto"/>
    </w:pPr>
    <w:rPr>
      <w:rFonts w:ascii="黑体" w:eastAsia="黑体"/>
      <w:szCs w:val="21"/>
    </w:rPr>
  </w:style>
  <w:style w:type="character" w:customStyle="1" w:styleId="49">
    <w:name w:val="表头 Char"/>
    <w:basedOn w:val="29"/>
    <w:link w:val="48"/>
    <w:qFormat/>
    <w:uiPriority w:val="0"/>
    <w:rPr>
      <w:rFonts w:ascii="黑体" w:eastAsia="黑体"/>
      <w:szCs w:val="21"/>
    </w:rPr>
  </w:style>
  <w:style w:type="paragraph" w:customStyle="1" w:styleId="50">
    <w:name w:val="二级标题"/>
    <w:basedOn w:val="1"/>
    <w:next w:val="1"/>
    <w:link w:val="51"/>
    <w:qFormat/>
    <w:uiPriority w:val="0"/>
    <w:pPr>
      <w:spacing w:line="480" w:lineRule="auto"/>
      <w:ind w:firstLine="640" w:firstLineChars="200"/>
      <w:jc w:val="left"/>
      <w:outlineLvl w:val="1"/>
    </w:pPr>
    <w:rPr>
      <w:rFonts w:ascii="黑体" w:eastAsia="黑体"/>
      <w:sz w:val="32"/>
      <w:szCs w:val="28"/>
    </w:rPr>
  </w:style>
  <w:style w:type="character" w:customStyle="1" w:styleId="51">
    <w:name w:val="二级标题 Char"/>
    <w:basedOn w:val="29"/>
    <w:link w:val="50"/>
    <w:qFormat/>
    <w:uiPriority w:val="0"/>
    <w:rPr>
      <w:rFonts w:ascii="黑体" w:eastAsia="黑体"/>
      <w:sz w:val="32"/>
      <w:szCs w:val="28"/>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qFormat/>
    <w:uiPriority w:val="34"/>
    <w:pPr>
      <w:spacing w:line="360" w:lineRule="auto"/>
      <w:ind w:firstLine="420" w:firstLineChars="200"/>
    </w:pPr>
    <w:rPr>
      <w:sz w:val="24"/>
    </w:rPr>
  </w:style>
  <w:style w:type="character" w:customStyle="1" w:styleId="54">
    <w:name w:val="日期 Char"/>
    <w:basedOn w:val="29"/>
    <w:link w:val="16"/>
    <w:semiHidden/>
    <w:qFormat/>
    <w:uiPriority w:val="99"/>
    <w:rPr>
      <w:sz w:val="24"/>
    </w:rPr>
  </w:style>
  <w:style w:type="character" w:customStyle="1" w:styleId="55">
    <w:name w:val="样式6 Char"/>
    <w:link w:val="56"/>
    <w:qFormat/>
    <w:uiPriority w:val="0"/>
    <w:rPr>
      <w:rFonts w:ascii="黑体" w:hAnsi="宋体" w:eastAsia="黑体"/>
      <w:szCs w:val="21"/>
    </w:rPr>
  </w:style>
  <w:style w:type="paragraph" w:customStyle="1" w:styleId="56">
    <w:name w:val="样式6"/>
    <w:basedOn w:val="11"/>
    <w:link w:val="55"/>
    <w:qFormat/>
    <w:uiPriority w:val="0"/>
    <w:pPr>
      <w:autoSpaceDE w:val="0"/>
      <w:autoSpaceDN w:val="0"/>
      <w:adjustRightInd w:val="0"/>
      <w:spacing w:after="0"/>
      <w:ind w:left="0" w:leftChars="0"/>
      <w:jc w:val="center"/>
    </w:pPr>
    <w:rPr>
      <w:rFonts w:ascii="黑体" w:hAnsi="宋体" w:eastAsia="黑体"/>
      <w:szCs w:val="21"/>
    </w:rPr>
  </w:style>
  <w:style w:type="character" w:customStyle="1" w:styleId="57">
    <w:name w:val="正文文本缩进 Char"/>
    <w:basedOn w:val="29"/>
    <w:link w:val="11"/>
    <w:semiHidden/>
    <w:qFormat/>
    <w:uiPriority w:val="99"/>
  </w:style>
  <w:style w:type="character" w:customStyle="1" w:styleId="58">
    <w:name w:val="纯文本 Char"/>
    <w:basedOn w:val="29"/>
    <w:link w:val="14"/>
    <w:qFormat/>
    <w:uiPriority w:val="0"/>
    <w:rPr>
      <w:rFonts w:ascii="宋体" w:hAnsi="Courier New" w:eastAsia="宋体" w:cs="Courier New"/>
      <w:szCs w:val="21"/>
    </w:rPr>
  </w:style>
  <w:style w:type="character" w:customStyle="1" w:styleId="59">
    <w:name w:val="样式5 Char1"/>
    <w:link w:val="60"/>
    <w:qFormat/>
    <w:locked/>
    <w:uiPriority w:val="0"/>
    <w:rPr>
      <w:rFonts w:ascii="宋体" w:hAnsi="宋体" w:eastAsia="宋体"/>
      <w:sz w:val="28"/>
      <w:szCs w:val="28"/>
      <w:lang w:val="zh-CN" w:eastAsia="zh-CN"/>
    </w:rPr>
  </w:style>
  <w:style w:type="paragraph" w:customStyle="1" w:styleId="60">
    <w:name w:val="样式5"/>
    <w:basedOn w:val="1"/>
    <w:link w:val="59"/>
    <w:qFormat/>
    <w:uiPriority w:val="0"/>
    <w:pPr>
      <w:adjustRightInd w:val="0"/>
      <w:snapToGrid w:val="0"/>
      <w:spacing w:line="360" w:lineRule="auto"/>
      <w:ind w:firstLine="560" w:firstLineChars="200"/>
    </w:pPr>
    <w:rPr>
      <w:rFonts w:ascii="宋体" w:hAnsi="宋体" w:eastAsia="宋体"/>
      <w:sz w:val="28"/>
      <w:szCs w:val="28"/>
      <w:lang w:val="zh-CN"/>
    </w:rPr>
  </w:style>
  <w:style w:type="paragraph" w:customStyle="1" w:styleId="61">
    <w:name w:val="样式"/>
    <w:qFormat/>
    <w:uiPriority w:val="0"/>
    <w:pPr>
      <w:widowControl w:val="0"/>
      <w:autoSpaceDE w:val="0"/>
      <w:autoSpaceDN w:val="0"/>
      <w:adjustRightInd w:val="0"/>
    </w:pPr>
    <w:rPr>
      <w:rFonts w:ascii="Times New Roman" w:hAnsi="Times New Roman" w:eastAsia="宋体" w:cs="Times New Roman"/>
      <w:sz w:val="21"/>
      <w:szCs w:val="24"/>
      <w:lang w:val="en-US" w:eastAsia="zh-CN" w:bidi="ar-SA"/>
    </w:rPr>
  </w:style>
  <w:style w:type="character" w:customStyle="1" w:styleId="62">
    <w:name w:val="样式5 Char"/>
    <w:qFormat/>
    <w:locked/>
    <w:uiPriority w:val="0"/>
    <w:rPr>
      <w:rFonts w:ascii="宋体" w:hAnsi="宋体" w:eastAsia="宋体" w:cs="Times New Roman"/>
      <w:spacing w:val="4"/>
      <w:sz w:val="24"/>
      <w:szCs w:val="24"/>
      <w:lang w:val="zh-CN" w:eastAsia="zh-CN"/>
    </w:rPr>
  </w:style>
  <w:style w:type="paragraph" w:customStyle="1" w:styleId="63">
    <w:name w:val="BT"/>
    <w:basedOn w:val="1"/>
    <w:link w:val="64"/>
    <w:qFormat/>
    <w:uiPriority w:val="0"/>
    <w:pPr>
      <w:widowControl/>
      <w:ind w:firstLine="525" w:firstLineChars="250"/>
      <w:jc w:val="left"/>
    </w:pPr>
    <w:rPr>
      <w:rFonts w:ascii="黑体" w:hAnsi="黑体" w:eastAsia="黑体" w:cs="Times New Roman"/>
      <w:bCs/>
      <w:szCs w:val="21"/>
    </w:rPr>
  </w:style>
  <w:style w:type="character" w:customStyle="1" w:styleId="64">
    <w:name w:val="BT Char"/>
    <w:basedOn w:val="29"/>
    <w:link w:val="63"/>
    <w:qFormat/>
    <w:uiPriority w:val="0"/>
    <w:rPr>
      <w:rFonts w:ascii="黑体" w:hAnsi="黑体" w:eastAsia="黑体" w:cs="Times New Roman"/>
      <w:bCs/>
      <w:szCs w:val="21"/>
    </w:rPr>
  </w:style>
  <w:style w:type="paragraph" w:customStyle="1" w:styleId="65">
    <w:name w:val="zwwb"/>
    <w:basedOn w:val="1"/>
    <w:link w:val="66"/>
    <w:qFormat/>
    <w:uiPriority w:val="0"/>
    <w:pPr>
      <w:autoSpaceDE w:val="0"/>
      <w:autoSpaceDN w:val="0"/>
      <w:adjustRightInd w:val="0"/>
      <w:spacing w:line="360" w:lineRule="auto"/>
      <w:ind w:firstLine="480" w:firstLineChars="200"/>
    </w:pPr>
    <w:rPr>
      <w:rFonts w:ascii="Times New Roman" w:hAnsi="Times New Roman" w:cs="Times New Roman"/>
      <w:sz w:val="24"/>
      <w:szCs w:val="24"/>
    </w:rPr>
  </w:style>
  <w:style w:type="character" w:customStyle="1" w:styleId="66">
    <w:name w:val="zwwb Char"/>
    <w:basedOn w:val="29"/>
    <w:link w:val="65"/>
    <w:qFormat/>
    <w:uiPriority w:val="0"/>
    <w:rPr>
      <w:rFonts w:ascii="Times New Roman" w:hAnsi="Times New Roman" w:cs="Times New Roman"/>
      <w:sz w:val="24"/>
      <w:szCs w:val="24"/>
    </w:rPr>
  </w:style>
  <w:style w:type="character" w:customStyle="1" w:styleId="67">
    <w:name w:val="批注文字 Char"/>
    <w:basedOn w:val="29"/>
    <w:link w:val="9"/>
    <w:semiHidden/>
    <w:qFormat/>
    <w:uiPriority w:val="99"/>
  </w:style>
  <w:style w:type="character" w:customStyle="1" w:styleId="68">
    <w:name w:val="批注主题 Char"/>
    <w:basedOn w:val="67"/>
    <w:link w:val="26"/>
    <w:semiHidden/>
    <w:qFormat/>
    <w:uiPriority w:val="99"/>
    <w:rPr>
      <w:b/>
      <w:bCs/>
    </w:rPr>
  </w:style>
  <w:style w:type="character" w:customStyle="1" w:styleId="69">
    <w:name w:val="Unresolved Mention"/>
    <w:basedOn w:val="29"/>
    <w:semiHidden/>
    <w:unhideWhenUsed/>
    <w:qFormat/>
    <w:uiPriority w:val="99"/>
    <w:rPr>
      <w:color w:val="605E5C"/>
      <w:shd w:val="clear" w:color="auto" w:fill="E1DFDD"/>
    </w:rPr>
  </w:style>
  <w:style w:type="character" w:customStyle="1" w:styleId="70">
    <w:name w:val="font01"/>
    <w:basedOn w:val="29"/>
    <w:qFormat/>
    <w:uiPriority w:val="0"/>
    <w:rPr>
      <w:rFonts w:hint="eastAsia" w:ascii="宋体" w:hAnsi="宋体" w:eastAsia="宋体" w:cs="宋体"/>
      <w:color w:val="000000"/>
      <w:sz w:val="20"/>
      <w:szCs w:val="20"/>
      <w:u w:val="none"/>
      <w:vertAlign w:val="superscript"/>
    </w:rPr>
  </w:style>
  <w:style w:type="character" w:customStyle="1" w:styleId="71">
    <w:name w:val="font61"/>
    <w:basedOn w:val="29"/>
    <w:qFormat/>
    <w:uiPriority w:val="0"/>
    <w:rPr>
      <w:rFonts w:hint="eastAsia" w:ascii="宋体" w:hAnsi="宋体" w:eastAsia="宋体" w:cs="宋体"/>
      <w:color w:val="000000"/>
      <w:sz w:val="20"/>
      <w:szCs w:val="20"/>
      <w:u w:val="none"/>
    </w:rPr>
  </w:style>
  <w:style w:type="table" w:customStyle="1" w:styleId="72">
    <w:name w:val="我的样式"/>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3">
    <w:name w:val="font21"/>
    <w:basedOn w:val="29"/>
    <w:qFormat/>
    <w:uiPriority w:val="0"/>
    <w:rPr>
      <w:rFonts w:hint="eastAsia" w:ascii="仿宋" w:hAnsi="仿宋" w:eastAsia="仿宋" w:cs="仿宋"/>
      <w:color w:val="000000"/>
      <w:sz w:val="24"/>
      <w:szCs w:val="24"/>
      <w:u w:val="none"/>
    </w:rPr>
  </w:style>
  <w:style w:type="character" w:customStyle="1" w:styleId="74">
    <w:name w:val="font11"/>
    <w:basedOn w:val="29"/>
    <w:qFormat/>
    <w:uiPriority w:val="0"/>
    <w:rPr>
      <w:rFonts w:hint="eastAsia" w:ascii="仿宋" w:hAnsi="仿宋" w:eastAsia="仿宋" w:cs="仿宋"/>
      <w:color w:val="000000"/>
      <w:sz w:val="24"/>
      <w:szCs w:val="24"/>
      <w:u w:val="none"/>
      <w:vertAlign w:val="superscript"/>
    </w:rPr>
  </w:style>
  <w:style w:type="character" w:customStyle="1" w:styleId="75">
    <w:name w:val="正文文本 Char1"/>
    <w:link w:val="10"/>
    <w:qFormat/>
    <w:uiPriority w:val="0"/>
    <w:rPr>
      <w:rFonts w:eastAsia="宋体"/>
      <w:szCs w:val="24"/>
    </w:rPr>
  </w:style>
  <w:style w:type="character" w:customStyle="1" w:styleId="76">
    <w:name w:val="正文文本 Char"/>
    <w:basedOn w:val="29"/>
    <w:semiHidden/>
    <w:qFormat/>
    <w:uiPriority w:val="99"/>
  </w:style>
  <w:style w:type="character" w:customStyle="1" w:styleId="77">
    <w:name w:val="font31"/>
    <w:basedOn w:val="29"/>
    <w:qFormat/>
    <w:uiPriority w:val="0"/>
    <w:rPr>
      <w:rFonts w:ascii="仿宋_GB2312" w:eastAsia="仿宋_GB2312" w:cs="仿宋_GB2312"/>
      <w:color w:val="000000"/>
      <w:sz w:val="24"/>
      <w:szCs w:val="24"/>
      <w:u w:val="none"/>
    </w:rPr>
  </w:style>
  <w:style w:type="character" w:customStyle="1" w:styleId="78">
    <w:name w:val="font41"/>
    <w:basedOn w:val="29"/>
    <w:qFormat/>
    <w:uiPriority w:val="0"/>
    <w:rPr>
      <w:rFonts w:hint="default" w:ascii="Times New Roman" w:hAnsi="Times New Roman" w:cs="Times New Roman"/>
      <w:color w:val="000000"/>
      <w:sz w:val="24"/>
      <w:szCs w:val="24"/>
      <w:u w:val="none"/>
      <w:vertAlign w:val="superscript"/>
    </w:rPr>
  </w:style>
  <w:style w:type="paragraph" w:customStyle="1" w:styleId="79">
    <w:name w:val="样式 ZW + 左 首行缩进:  2 字符 行距: 固定值 30 磅1"/>
    <w:basedOn w:val="1"/>
    <w:qFormat/>
    <w:uiPriority w:val="0"/>
    <w:pPr>
      <w:widowControl/>
      <w:adjustRightInd w:val="0"/>
      <w:snapToGrid w:val="0"/>
      <w:spacing w:line="600" w:lineRule="exact"/>
      <w:ind w:firstLine="200" w:firstLineChars="200"/>
      <w:jc w:val="left"/>
    </w:pPr>
    <w:rPr>
      <w:rFonts w:ascii="仿宋_GB2312" w:hAnsi="Calibri" w:eastAsia="仿宋_GB2312" w:cs="宋体"/>
      <w:kern w:val="0"/>
      <w:sz w:val="32"/>
      <w:szCs w:val="20"/>
    </w:rPr>
  </w:style>
  <w:style w:type="paragraph" w:customStyle="1" w:styleId="80">
    <w:name w:val="水利部-正文"/>
    <w:basedOn w:val="1"/>
    <w:qFormat/>
    <w:uiPriority w:val="0"/>
    <w:pPr>
      <w:spacing w:line="600" w:lineRule="exact"/>
      <w:ind w:firstLine="640" w:firstLineChars="200"/>
    </w:pPr>
    <w:rPr>
      <w:rFonts w:eastAsia="仿宋"/>
      <w:sz w:val="32"/>
      <w:szCs w:val="32"/>
    </w:rPr>
  </w:style>
  <w:style w:type="paragraph" w:customStyle="1" w:styleId="81">
    <w:name w:val="3ji"/>
    <w:basedOn w:val="1"/>
    <w:qFormat/>
    <w:uiPriority w:val="0"/>
    <w:pPr>
      <w:spacing w:line="600" w:lineRule="exact"/>
      <w:ind w:firstLine="200" w:firstLineChars="200"/>
      <w:outlineLvl w:val="2"/>
    </w:pPr>
    <w:rPr>
      <w:rFonts w:ascii="仿宋_GB2312" w:eastAsia="楷体_GB2312"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1907</Words>
  <Characters>10876</Characters>
  <Lines>90</Lines>
  <Paragraphs>25</Paragraphs>
  <TotalTime>0</TotalTime>
  <ScaleCrop>false</ScaleCrop>
  <LinksUpToDate>false</LinksUpToDate>
  <CharactersWithSpaces>12758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2021-12-12T11:37:00Z</dcterms:created>
  <dc:creator>王 敏</dc:creator>
  <cp:lastModifiedBy>NMGSLT</cp:lastModifiedBy>
  <cp:lastPrinted>2021-06-20T11:29:00Z</cp:lastPrinted>
  <dcterms:modified xsi:type="dcterms:W3CDTF">2021-12-16T16:07:36Z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DA90EF7176A64E879E240BDC855C2DB8</vt:lpwstr>
  </property>
</Properties>
</file>